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5394914d930415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53" w:rsidRDefault="003301E0">
      <w:pPr>
        <w:pStyle w:val="Heading4"/>
        <w:rPr>
          <w:rFonts w:ascii="Arial" w:hAnsi="Arial" w:cs="Arial"/>
          <w:b w:val="0"/>
          <w:bCs w:val="0"/>
          <w:sz w:val="24"/>
        </w:rPr>
      </w:pPr>
      <w:r>
        <w:rPr>
          <w:rFonts w:ascii="Arial" w:hAnsi="Arial" w:cs="Arial"/>
          <w:b w:val="0"/>
          <w:bCs w:val="0"/>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ge">
                  <wp:posOffset>796925</wp:posOffset>
                </wp:positionV>
                <wp:extent cx="3086100" cy="346075"/>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607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4DD" w:rsidRDefault="001564DD">
                            <w:pPr>
                              <w:rPr>
                                <w:rFonts w:ascii="Arial Black" w:hAnsi="Arial Black" w:cs="Arial"/>
                                <w:sz w:val="30"/>
                              </w:rPr>
                            </w:pPr>
                            <w:r>
                              <w:rPr>
                                <w:rFonts w:ascii="Arial Black" w:hAnsi="Arial Black" w:cs="Arial"/>
                                <w:sz w:val="30"/>
                              </w:rPr>
                              <w:t>City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pt;margin-top:62.75pt;width:243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yU6AIAAGwGAAAOAAAAZHJzL2Uyb0RvYy54bWysVe1umzAU/T9p72D5PwUSwpdKqoSEaVL3&#10;IbV7AAdMsAY2s52Qbtq779okadpu0rQuP9C1fX18zv3K9c2ha9GeSsUEz7B/5WFEeSkqxrcZ/nJf&#10;ODFGShNekVZwmuEHqvDN/O2b66FP6UQ0oq2oRADCVTr0GW607lPXVWVDO6KuRE85HNZCdkTDUm7d&#10;SpIB0LvWnXhe6A5CVr0UJVUKdlfjIZ5b/Lqmpf5U14pq1GYYuGn7lfa7MV93fk3SrSR9w8ojDfIP&#10;LDrCODx6hloRTdBOshdQHSulUKLWV6XoXFHXrKRWA6jxvWdq7hrSU6sFgqP6c5jU/4MtP+4/S8Qq&#10;yB2Eh5MOcnRPDxotxQH5kYnP0KsU3O56cNQH2Adfq1X1t6L8qhAXeUP4li6kFENDSQX8fHPTvbg6&#10;4igDshk+iAreITstLNChlp0JHoQDAToQeTjnxnApYXPqxaHvwVEJZ9Mg9KKZfYKkp9u9VPodFR0y&#10;RoYl5N6ik/2t0oYNSU8u5jEuCta2Nv8tf7IBjuMOtQU03iYpMAHTeBpONrk/Ei9Zx+s4cIJJuHYC&#10;b7VyFkUeOGHhR7PVdJXnK/+nYeEHacOqinLz6KnQ/ODvEnks+bFEzqWmRMsqA2coKbnd5K1EewKF&#10;Pg2neTI5hufCzX1Kw4YEtDyT5E8CbzlJnCKMIycogpmTRF7seH6yTEIvSIJV8VTSLeP09ZLQkOFk&#10;NpmNpfVHbZ79vdRG0o5pGCUt6zIcn51IagpyzSubaE1YO9oXoTD0fx+KRTHzomAaO1E0mzrBdO05&#10;y7jInUXuh2G0XubL9bPsrm3FqNdHw+bkovwu+B7feKQM9XqqTdtxpsnGdtOHzQGEmzbciOoBek8K&#10;aA3oIhjZYDRCfsdogPGXYfVtRyTFqH3PoX/BRZ8MeTI2J4PwEq5mWGM0mrkeZ+qul2zbAPI4IbhY&#10;QI/XzLbfIwugbhYw0qyI4/g1M/Nybb0e/yTmvwAAAP//AwBQSwMEFAAGAAgAAAAhAMBeCXDfAAAA&#10;CwEAAA8AAABkcnMvZG93bnJldi54bWxMj8FOwzAQRO9I/IO1SNxaO4UWE+JUFQIhhECi8AGubZKI&#10;eB3ZThr+nu0Jjjszmn1TbWffs8nF1AVUUCwFMIcm2A4bBZ8fjwsJLGWNVvcBnYIfl2Bbn59VurTh&#10;iO9u2ueGUQmmUitocx5KzpNpnddpGQaH5H2F6HWmMzbcRn2kct/zlRAb7nWH9KHVg7tvnfnej16B&#10;GZ+f5NVtLPyDGdLr9JJudm9SqcuLeXcHLLs5/4XhhE/oUBPTIYxoE+sVLApJWzIZq/UaGCWuNyfl&#10;QIoUAnhd8f8b6l8AAAD//wMAUEsBAi0AFAAGAAgAAAAhALaDOJL+AAAA4QEAABMAAAAAAAAAAAAA&#10;AAAAAAAAAFtDb250ZW50X1R5cGVzXS54bWxQSwECLQAUAAYACAAAACEAOP0h/9YAAACUAQAACwAA&#10;AAAAAAAAAAAAAAAvAQAAX3JlbHMvLnJlbHNQSwECLQAUAAYACAAAACEAy9YMlOgCAABsBgAADgAA&#10;AAAAAAAAAAAAAAAuAgAAZHJzL2Uyb0RvYy54bWxQSwECLQAUAAYACAAAACEAwF4JcN8AAAALAQAA&#10;DwAAAAAAAAAAAAAAAABCBQAAZHJzL2Rvd25yZXYueG1sUEsFBgAAAAAEAAQA8wAAAE4GAAAAAA==&#10;" filled="f" fillcolor="#363c92" stroked="f">
                <v:textbox inset="0,0,0,0">
                  <w:txbxContent>
                    <w:p w:rsidR="001564DD" w:rsidRDefault="001564DD">
                      <w:pPr>
                        <w:rPr>
                          <w:rFonts w:ascii="Arial Black" w:hAnsi="Arial Black" w:cs="Arial"/>
                          <w:sz w:val="30"/>
                        </w:rPr>
                      </w:pPr>
                      <w:r>
                        <w:rPr>
                          <w:rFonts w:ascii="Arial Black" w:hAnsi="Arial Black" w:cs="Arial"/>
                          <w:sz w:val="30"/>
                        </w:rPr>
                        <w:t>City Development</w:t>
                      </w:r>
                    </w:p>
                  </w:txbxContent>
                </v:textbox>
                <w10:wrap anchory="page"/>
              </v:shape>
            </w:pict>
          </mc:Fallback>
        </mc:AlternateContent>
      </w:r>
    </w:p>
    <w:p w:rsidR="001A4453" w:rsidRDefault="001A4453">
      <w:pPr>
        <w:rPr>
          <w:rFonts w:cs="Arial"/>
        </w:rPr>
      </w:pPr>
    </w:p>
    <w:p w:rsidR="001A4453" w:rsidRDefault="001A4453">
      <w:pPr>
        <w:rPr>
          <w:rFonts w:cs="Arial"/>
        </w:rPr>
      </w:pPr>
    </w:p>
    <w:p w:rsidR="001A4453" w:rsidRDefault="001A4453">
      <w:pPr>
        <w:rPr>
          <w:rFonts w:cs="Arial"/>
        </w:rPr>
      </w:pPr>
    </w:p>
    <w:p w:rsidR="001A4453" w:rsidRDefault="001A4453">
      <w:pPr>
        <w:pStyle w:val="Footer"/>
        <w:tabs>
          <w:tab w:val="clear" w:pos="4153"/>
          <w:tab w:val="clear" w:pos="8306"/>
        </w:tabs>
        <w:rPr>
          <w:rFonts w:cs="Arial"/>
        </w:rPr>
      </w:pPr>
    </w:p>
    <w:p w:rsidR="001A4453" w:rsidRDefault="001A4453">
      <w:pPr>
        <w:pStyle w:val="Footer"/>
        <w:tabs>
          <w:tab w:val="clear" w:pos="4153"/>
          <w:tab w:val="clear" w:pos="8306"/>
        </w:tabs>
        <w:rPr>
          <w:rFonts w:cs="Arial"/>
        </w:rPr>
      </w:pPr>
    </w:p>
    <w:p w:rsidR="001A4453" w:rsidRDefault="001A4453">
      <w:pPr>
        <w:rPr>
          <w:rFonts w:cs="Arial"/>
        </w:rPr>
      </w:pPr>
    </w:p>
    <w:p w:rsidR="00C47B67" w:rsidRDefault="00F72D97">
      <w:pPr>
        <w:pStyle w:val="Footer"/>
        <w:tabs>
          <w:tab w:val="clear" w:pos="4153"/>
          <w:tab w:val="clear" w:pos="8306"/>
        </w:tabs>
        <w:rPr>
          <w:rFonts w:cs="Arial"/>
          <w:sz w:val="52"/>
        </w:rPr>
      </w:pPr>
      <w:r>
        <w:rPr>
          <w:rFonts w:cs="Arial"/>
          <w:sz w:val="52"/>
        </w:rPr>
        <w:t>Site at</w:t>
      </w:r>
      <w:r w:rsidR="0070119F">
        <w:rPr>
          <w:rFonts w:cs="Arial"/>
          <w:sz w:val="52"/>
        </w:rPr>
        <w:t xml:space="preserve"> </w:t>
      </w:r>
      <w:r w:rsidR="00C47B67">
        <w:rPr>
          <w:rFonts w:cs="Arial"/>
          <w:sz w:val="52"/>
        </w:rPr>
        <w:t>Lake Street</w:t>
      </w:r>
      <w:r w:rsidR="00F11B88">
        <w:rPr>
          <w:rFonts w:cs="Arial"/>
          <w:sz w:val="52"/>
        </w:rPr>
        <w:t>,</w:t>
      </w:r>
      <w:r w:rsidR="00C47B67">
        <w:rPr>
          <w:rFonts w:cs="Arial"/>
          <w:sz w:val="52"/>
        </w:rPr>
        <w:t xml:space="preserve"> </w:t>
      </w:r>
      <w:r w:rsidR="0070119F">
        <w:rPr>
          <w:rFonts w:cs="Arial"/>
          <w:sz w:val="52"/>
        </w:rPr>
        <w:t>Oxford,</w:t>
      </w:r>
    </w:p>
    <w:p w:rsidR="0070119F" w:rsidRDefault="0070119F">
      <w:pPr>
        <w:pStyle w:val="Footer"/>
        <w:tabs>
          <w:tab w:val="clear" w:pos="4153"/>
          <w:tab w:val="clear" w:pos="8306"/>
        </w:tabs>
        <w:rPr>
          <w:rFonts w:cs="Arial"/>
          <w:sz w:val="52"/>
        </w:rPr>
      </w:pPr>
      <w:r>
        <w:rPr>
          <w:rFonts w:cs="Arial"/>
          <w:sz w:val="52"/>
        </w:rPr>
        <w:t>OX</w:t>
      </w:r>
      <w:r w:rsidR="00C47B67">
        <w:rPr>
          <w:rFonts w:cs="Arial"/>
          <w:sz w:val="52"/>
        </w:rPr>
        <w:t>1 4RD</w:t>
      </w:r>
    </w:p>
    <w:p w:rsidR="001A4453" w:rsidRDefault="001A4453">
      <w:pPr>
        <w:rPr>
          <w:rFonts w:cs="Arial"/>
        </w:rPr>
      </w:pPr>
    </w:p>
    <w:p w:rsidR="001A4453" w:rsidRDefault="001A4453">
      <w:pPr>
        <w:rPr>
          <w:rFonts w:cs="Arial"/>
        </w:rPr>
      </w:pPr>
    </w:p>
    <w:p w:rsidR="001A4453" w:rsidRDefault="001A4453">
      <w:pPr>
        <w:rPr>
          <w:rFonts w:cs="Arial"/>
        </w:rPr>
      </w:pPr>
    </w:p>
    <w:p w:rsidR="001A4453" w:rsidRDefault="001A4453">
      <w:pPr>
        <w:rPr>
          <w:rFonts w:cs="Arial"/>
        </w:rPr>
      </w:pPr>
    </w:p>
    <w:p w:rsidR="00F72D97" w:rsidRPr="00C47B67" w:rsidRDefault="00AE568B" w:rsidP="00F11B88">
      <w:pPr>
        <w:widowControl w:val="0"/>
        <w:rPr>
          <w:rFonts w:cs="Arial"/>
          <w:sz w:val="32"/>
        </w:rPr>
      </w:pPr>
      <w:r>
        <w:rPr>
          <w:rFonts w:cs="Arial"/>
          <w:sz w:val="32"/>
        </w:rPr>
        <w:t xml:space="preserve">APPEAL BY MR </w:t>
      </w:r>
      <w:r w:rsidR="00C47B67">
        <w:rPr>
          <w:rFonts w:cs="Arial"/>
          <w:sz w:val="32"/>
        </w:rPr>
        <w:t>IAN WHEATON</w:t>
      </w:r>
      <w:r w:rsidR="00F11B88">
        <w:rPr>
          <w:rFonts w:cs="Arial"/>
          <w:sz w:val="32"/>
        </w:rPr>
        <w:t xml:space="preserve"> AGAINST T</w:t>
      </w:r>
      <w:r w:rsidR="00C47B67">
        <w:rPr>
          <w:rFonts w:cs="Arial"/>
          <w:sz w:val="32"/>
        </w:rPr>
        <w:t>HE RE</w:t>
      </w:r>
      <w:r w:rsidR="00A72AA9">
        <w:rPr>
          <w:rFonts w:cs="Arial"/>
          <w:sz w:val="32"/>
        </w:rPr>
        <w:t>F</w:t>
      </w:r>
      <w:r w:rsidR="00C47B67">
        <w:rPr>
          <w:rFonts w:cs="Arial"/>
          <w:sz w:val="32"/>
        </w:rPr>
        <w:t>USAL OF PRIOR APPROVAL</w:t>
      </w:r>
      <w:r w:rsidR="00F11B88">
        <w:rPr>
          <w:rFonts w:cs="Arial"/>
          <w:sz w:val="32"/>
        </w:rPr>
        <w:t xml:space="preserve"> </w:t>
      </w:r>
      <w:r w:rsidR="00F11B88" w:rsidRPr="00F11B88">
        <w:rPr>
          <w:rFonts w:cs="Arial"/>
          <w:sz w:val="32"/>
          <w:szCs w:val="32"/>
        </w:rPr>
        <w:t xml:space="preserve">FOR </w:t>
      </w:r>
      <w:r w:rsidR="00C47B67">
        <w:rPr>
          <w:rFonts w:cs="Arial"/>
          <w:caps/>
          <w:sz w:val="32"/>
          <w:szCs w:val="32"/>
        </w:rPr>
        <w:t>THE DEMOLIT</w:t>
      </w:r>
      <w:r w:rsidR="00410CC3">
        <w:rPr>
          <w:rFonts w:cs="Arial"/>
          <w:caps/>
          <w:sz w:val="32"/>
          <w:szCs w:val="32"/>
        </w:rPr>
        <w:t>i</w:t>
      </w:r>
      <w:r w:rsidR="00C47B67">
        <w:rPr>
          <w:rFonts w:cs="Arial"/>
          <w:caps/>
          <w:sz w:val="32"/>
          <w:szCs w:val="32"/>
        </w:rPr>
        <w:t>ON OF THE EXIST</w:t>
      </w:r>
      <w:r w:rsidR="00410CC3">
        <w:rPr>
          <w:rFonts w:cs="Arial"/>
          <w:caps/>
          <w:sz w:val="32"/>
          <w:szCs w:val="32"/>
        </w:rPr>
        <w:t>i</w:t>
      </w:r>
      <w:r w:rsidR="00C47B67">
        <w:rPr>
          <w:rFonts w:cs="Arial"/>
          <w:caps/>
          <w:sz w:val="32"/>
          <w:szCs w:val="32"/>
        </w:rPr>
        <w:t xml:space="preserve">NG </w:t>
      </w:r>
      <w:r w:rsidR="003C7C7A">
        <w:rPr>
          <w:rFonts w:cs="Arial"/>
          <w:caps/>
          <w:sz w:val="32"/>
          <w:szCs w:val="32"/>
        </w:rPr>
        <w:t>FOOT</w:t>
      </w:r>
      <w:r w:rsidR="00C47B67">
        <w:rPr>
          <w:rFonts w:cs="Arial"/>
          <w:caps/>
          <w:sz w:val="32"/>
          <w:szCs w:val="32"/>
        </w:rPr>
        <w:t xml:space="preserve">BRIDGE AND ERECTIONOF A REPLACEMENT </w:t>
      </w:r>
      <w:r w:rsidR="003C7C7A">
        <w:rPr>
          <w:rFonts w:cs="Arial"/>
          <w:caps/>
          <w:sz w:val="32"/>
          <w:szCs w:val="32"/>
        </w:rPr>
        <w:t>FOOT</w:t>
      </w:r>
      <w:r w:rsidR="00C47B67">
        <w:rPr>
          <w:rFonts w:cs="Arial"/>
          <w:caps/>
          <w:sz w:val="32"/>
          <w:szCs w:val="32"/>
        </w:rPr>
        <w:t>BRIDGE</w:t>
      </w:r>
    </w:p>
    <w:p w:rsidR="00F72D97" w:rsidRPr="00F72D97" w:rsidRDefault="00F72D97">
      <w:pPr>
        <w:rPr>
          <w:rFonts w:cs="Arial"/>
        </w:rPr>
      </w:pPr>
    </w:p>
    <w:p w:rsidR="00625111" w:rsidRDefault="00625111">
      <w:pPr>
        <w:rPr>
          <w:rFonts w:cs="Arial"/>
        </w:rPr>
      </w:pPr>
    </w:p>
    <w:p w:rsidR="001A4453" w:rsidRDefault="001A4453">
      <w:pPr>
        <w:rPr>
          <w:rFonts w:cs="Arial"/>
        </w:rPr>
      </w:pPr>
    </w:p>
    <w:p w:rsidR="001A4453" w:rsidRDefault="001A4453">
      <w:pPr>
        <w:rPr>
          <w:rFonts w:cs="Arial"/>
        </w:rPr>
      </w:pPr>
    </w:p>
    <w:p w:rsidR="00A47F7C" w:rsidRDefault="00306B81">
      <w:pPr>
        <w:rPr>
          <w:rFonts w:cs="Arial"/>
          <w:sz w:val="36"/>
        </w:rPr>
      </w:pPr>
      <w:r>
        <w:rPr>
          <w:rFonts w:cs="Arial"/>
          <w:sz w:val="36"/>
        </w:rPr>
        <w:t>WRITTEN STA</w:t>
      </w:r>
      <w:r w:rsidR="00A47F7C">
        <w:rPr>
          <w:rFonts w:cs="Arial"/>
          <w:sz w:val="36"/>
        </w:rPr>
        <w:t>TEMENT BY THE LOCAL</w:t>
      </w:r>
    </w:p>
    <w:p w:rsidR="001A4453" w:rsidRDefault="001A4453">
      <w:pPr>
        <w:rPr>
          <w:rFonts w:cs="Arial"/>
          <w:sz w:val="36"/>
        </w:rPr>
      </w:pPr>
      <w:r>
        <w:rPr>
          <w:rFonts w:cs="Arial"/>
          <w:sz w:val="36"/>
        </w:rPr>
        <w:t>PLANNING AUTHORITY</w:t>
      </w:r>
    </w:p>
    <w:p w:rsidR="001A4453" w:rsidRDefault="001A4453">
      <w:pPr>
        <w:rPr>
          <w:rFonts w:cs="Arial"/>
        </w:rPr>
      </w:pPr>
    </w:p>
    <w:p w:rsidR="001A4453" w:rsidRDefault="001A4453">
      <w:pPr>
        <w:rPr>
          <w:rFonts w:cs="Arial"/>
        </w:rPr>
      </w:pPr>
    </w:p>
    <w:p w:rsidR="001A4453" w:rsidRDefault="001A4453">
      <w:pPr>
        <w:rPr>
          <w:rFonts w:cs="Arial"/>
        </w:rPr>
      </w:pPr>
    </w:p>
    <w:p w:rsidR="001A4453" w:rsidRDefault="001A4453">
      <w:pPr>
        <w:rPr>
          <w:rFonts w:cs="Arial"/>
          <w:sz w:val="28"/>
        </w:rPr>
      </w:pPr>
      <w:r>
        <w:rPr>
          <w:rFonts w:cs="Arial"/>
          <w:sz w:val="28"/>
        </w:rPr>
        <w:t>Local Planning Authority Reference:</w:t>
      </w:r>
    </w:p>
    <w:p w:rsidR="001A4453" w:rsidRPr="005C6316" w:rsidRDefault="00C47B67">
      <w:pPr>
        <w:rPr>
          <w:rFonts w:cs="Arial"/>
          <w:sz w:val="28"/>
          <w:szCs w:val="28"/>
        </w:rPr>
      </w:pPr>
      <w:r>
        <w:rPr>
          <w:rFonts w:cs="Arial"/>
          <w:sz w:val="28"/>
          <w:szCs w:val="28"/>
        </w:rPr>
        <w:t>12/03282/PA11</w:t>
      </w:r>
    </w:p>
    <w:p w:rsidR="001A4453" w:rsidRDefault="001A4453">
      <w:pPr>
        <w:rPr>
          <w:rFonts w:cs="Arial"/>
        </w:rPr>
      </w:pPr>
    </w:p>
    <w:p w:rsidR="001A4453" w:rsidRDefault="001A4453">
      <w:pPr>
        <w:rPr>
          <w:rFonts w:cs="Arial"/>
        </w:rPr>
      </w:pPr>
    </w:p>
    <w:p w:rsidR="001A4453" w:rsidRDefault="001A4453">
      <w:pPr>
        <w:rPr>
          <w:rFonts w:cs="Arial"/>
          <w:sz w:val="28"/>
        </w:rPr>
      </w:pPr>
      <w:r>
        <w:rPr>
          <w:rFonts w:cs="Arial"/>
          <w:sz w:val="28"/>
        </w:rPr>
        <w:t>Planning Inspectorate Reference:</w:t>
      </w:r>
    </w:p>
    <w:p w:rsidR="001A4453" w:rsidRDefault="00C47B67">
      <w:pPr>
        <w:rPr>
          <w:rFonts w:cs="Arial"/>
          <w:sz w:val="28"/>
        </w:rPr>
      </w:pPr>
      <w:r>
        <w:rPr>
          <w:rFonts w:cs="Arial"/>
          <w:sz w:val="28"/>
        </w:rPr>
        <w:t>APP/G3110/A/13/2196202</w:t>
      </w:r>
    </w:p>
    <w:p w:rsidR="001A4453" w:rsidRDefault="001A4453" w:rsidP="00410CC3">
      <w:pPr>
        <w:jc w:val="both"/>
        <w:rPr>
          <w:rFonts w:cs="Arial"/>
          <w:b/>
          <w:bCs/>
        </w:rPr>
      </w:pPr>
      <w:r>
        <w:rPr>
          <w:sz w:val="22"/>
        </w:rPr>
        <w:br w:type="page"/>
      </w:r>
      <w:r>
        <w:rPr>
          <w:rFonts w:cs="Arial"/>
          <w:b/>
          <w:bCs/>
        </w:rPr>
        <w:lastRenderedPageBreak/>
        <w:t>1.</w:t>
      </w:r>
      <w:r>
        <w:rPr>
          <w:rFonts w:cs="Arial"/>
        </w:rPr>
        <w:tab/>
      </w:r>
      <w:r w:rsidR="0045481B">
        <w:rPr>
          <w:rFonts w:cs="Arial"/>
          <w:b/>
          <w:bCs/>
        </w:rPr>
        <w:t>Appeal Site and Locality</w:t>
      </w:r>
    </w:p>
    <w:p w:rsidR="001A4453" w:rsidRDefault="001A4453" w:rsidP="00410CC3">
      <w:pPr>
        <w:pStyle w:val="Footer"/>
        <w:tabs>
          <w:tab w:val="clear" w:pos="4153"/>
          <w:tab w:val="clear" w:pos="8306"/>
        </w:tabs>
        <w:jc w:val="both"/>
        <w:rPr>
          <w:rFonts w:cs="Arial"/>
        </w:rPr>
      </w:pPr>
    </w:p>
    <w:p w:rsidR="00E72CC0" w:rsidRPr="00E72CC0" w:rsidRDefault="00B513AA" w:rsidP="005074D8">
      <w:pPr>
        <w:widowControl w:val="0"/>
        <w:ind w:left="720" w:hanging="720"/>
        <w:jc w:val="both"/>
        <w:rPr>
          <w:rFonts w:cs="Arial"/>
        </w:rPr>
      </w:pPr>
      <w:r>
        <w:t>1.1</w:t>
      </w:r>
      <w:r>
        <w:tab/>
      </w:r>
      <w:r w:rsidR="00E72CC0">
        <w:rPr>
          <w:rFonts w:cs="Arial"/>
        </w:rPr>
        <w:t>The appeal</w:t>
      </w:r>
      <w:r w:rsidR="00E72CC0" w:rsidRPr="00E72CC0">
        <w:rPr>
          <w:rFonts w:cs="Arial"/>
        </w:rPr>
        <w:t xml:space="preserve"> site (footbridge) lies to the south of Oxford railway station, immediately west of Hinksey Lake, off Lake Street.  It links South Hinksey Village to Oxford City which can only otherwise be accessed from the city via the A34 section of the Oxford Ring Road.  The footbridge forms an extension to a further footbridge which crosses the lake itself. </w:t>
      </w:r>
      <w:r w:rsidR="00E72CC0">
        <w:rPr>
          <w:rFonts w:cs="Arial"/>
        </w:rPr>
        <w:t xml:space="preserve"> </w:t>
      </w:r>
      <w:r w:rsidR="00E72CC0" w:rsidRPr="00E72CC0">
        <w:rPr>
          <w:rFonts w:cs="Arial"/>
          <w:b/>
        </w:rPr>
        <w:t xml:space="preserve">Appendix </w:t>
      </w:r>
      <w:r w:rsidR="006B61D5">
        <w:rPr>
          <w:rFonts w:cs="Arial"/>
          <w:b/>
        </w:rPr>
        <w:t>A</w:t>
      </w:r>
      <w:r w:rsidR="00E72CC0" w:rsidRPr="00E72CC0">
        <w:rPr>
          <w:rFonts w:cs="Arial"/>
        </w:rPr>
        <w:t xml:space="preserve"> refers. </w:t>
      </w:r>
    </w:p>
    <w:p w:rsidR="00DB37F1" w:rsidRDefault="00DB37F1" w:rsidP="00F22CD0">
      <w:pPr>
        <w:jc w:val="both"/>
      </w:pPr>
    </w:p>
    <w:p w:rsidR="00E72037" w:rsidRDefault="004F2690" w:rsidP="00F22CD0">
      <w:pPr>
        <w:pStyle w:val="BodyText"/>
        <w:tabs>
          <w:tab w:val="clear" w:pos="4140"/>
        </w:tabs>
        <w:jc w:val="both"/>
        <w:rPr>
          <w:rFonts w:ascii="Arial" w:hAnsi="Arial" w:cs="Arial"/>
        </w:rPr>
      </w:pPr>
      <w:r>
        <w:rPr>
          <w:rFonts w:ascii="Arial" w:hAnsi="Arial" w:cs="Arial"/>
        </w:rPr>
        <w:t>2</w:t>
      </w:r>
      <w:r w:rsidR="0045481B">
        <w:rPr>
          <w:rFonts w:ascii="Arial" w:hAnsi="Arial" w:cs="Arial"/>
        </w:rPr>
        <w:t>.</w:t>
      </w:r>
      <w:r w:rsidR="0045481B">
        <w:rPr>
          <w:rFonts w:ascii="Arial" w:hAnsi="Arial" w:cs="Arial"/>
        </w:rPr>
        <w:tab/>
        <w:t>Relevant Planning History</w:t>
      </w:r>
    </w:p>
    <w:p w:rsidR="00E72037" w:rsidRDefault="00E72037" w:rsidP="00F22CD0">
      <w:pPr>
        <w:jc w:val="both"/>
        <w:rPr>
          <w:rFonts w:cs="Arial"/>
        </w:rPr>
      </w:pPr>
    </w:p>
    <w:p w:rsidR="00154768" w:rsidRDefault="00952D43" w:rsidP="00F22CD0">
      <w:pPr>
        <w:ind w:left="720" w:hanging="720"/>
        <w:jc w:val="both"/>
        <w:rPr>
          <w:rFonts w:eastAsia="MS Mincho" w:cs="Arial"/>
        </w:rPr>
      </w:pPr>
      <w:r>
        <w:rPr>
          <w:rFonts w:cs="Arial"/>
        </w:rPr>
        <w:t>2.1</w:t>
      </w:r>
      <w:r>
        <w:rPr>
          <w:rFonts w:cs="Arial"/>
        </w:rPr>
        <w:tab/>
      </w:r>
      <w:r w:rsidR="00C47B67">
        <w:rPr>
          <w:rFonts w:eastAsia="MS Mincho" w:cs="Arial"/>
        </w:rPr>
        <w:t xml:space="preserve">There is no relevant planning history.  </w:t>
      </w:r>
    </w:p>
    <w:p w:rsidR="00952D43" w:rsidRDefault="00952D43" w:rsidP="00F22CD0">
      <w:pPr>
        <w:jc w:val="both"/>
        <w:rPr>
          <w:rFonts w:cs="Arial"/>
        </w:rPr>
      </w:pPr>
    </w:p>
    <w:p w:rsidR="0045481B" w:rsidRPr="0045481B" w:rsidRDefault="0045481B" w:rsidP="00F22CD0">
      <w:pPr>
        <w:jc w:val="both"/>
        <w:rPr>
          <w:rFonts w:cs="Arial"/>
          <w:b/>
        </w:rPr>
      </w:pPr>
      <w:r>
        <w:rPr>
          <w:rFonts w:cs="Arial"/>
          <w:b/>
        </w:rPr>
        <w:t>3.</w:t>
      </w:r>
      <w:r>
        <w:rPr>
          <w:rFonts w:cs="Arial"/>
          <w:b/>
        </w:rPr>
        <w:tab/>
      </w:r>
      <w:r w:rsidRPr="0045481B">
        <w:rPr>
          <w:rFonts w:cs="Arial"/>
          <w:b/>
        </w:rPr>
        <w:t>Appeal Proposal</w:t>
      </w:r>
    </w:p>
    <w:p w:rsidR="0045481B" w:rsidRDefault="0045481B" w:rsidP="00F22CD0">
      <w:pPr>
        <w:jc w:val="both"/>
        <w:rPr>
          <w:rFonts w:cs="Arial"/>
        </w:rPr>
      </w:pPr>
    </w:p>
    <w:p w:rsidR="00994979" w:rsidRDefault="009A50C8" w:rsidP="00F22CD0">
      <w:pPr>
        <w:ind w:left="720" w:hanging="720"/>
        <w:jc w:val="both"/>
        <w:rPr>
          <w:rFonts w:cs="Arial"/>
        </w:rPr>
      </w:pPr>
      <w:r>
        <w:rPr>
          <w:rFonts w:cs="Arial"/>
        </w:rPr>
        <w:t>3.1</w:t>
      </w:r>
      <w:r>
        <w:rPr>
          <w:rFonts w:cs="Arial"/>
        </w:rPr>
        <w:tab/>
      </w:r>
      <w:r w:rsidR="00952D43" w:rsidRPr="00952D43">
        <w:rPr>
          <w:rFonts w:cs="Arial"/>
        </w:rPr>
        <w:t>An applic</w:t>
      </w:r>
      <w:r w:rsidR="00311509">
        <w:rPr>
          <w:rFonts w:cs="Arial"/>
        </w:rPr>
        <w:t>ation was received on 19</w:t>
      </w:r>
      <w:r w:rsidR="00311509" w:rsidRPr="00311509">
        <w:rPr>
          <w:rFonts w:cs="Arial"/>
          <w:vertAlign w:val="superscript"/>
        </w:rPr>
        <w:t>th</w:t>
      </w:r>
      <w:r w:rsidR="00311509">
        <w:rPr>
          <w:rFonts w:cs="Arial"/>
        </w:rPr>
        <w:t xml:space="preserve"> December 2012</w:t>
      </w:r>
      <w:r w:rsidR="00994979">
        <w:rPr>
          <w:rFonts w:cs="Arial"/>
        </w:rPr>
        <w:t xml:space="preserve"> seeking prior approval under </w:t>
      </w:r>
      <w:r w:rsidR="00994979">
        <w:t xml:space="preserve">the provisions of Part 11 of Schedule 2 of the Town and Country Planning (General Permitted Development) Order 1995 for </w:t>
      </w:r>
      <w:r w:rsidR="00994979" w:rsidRPr="00994979">
        <w:rPr>
          <w:rFonts w:cs="Arial"/>
        </w:rPr>
        <w:t xml:space="preserve">the demolition of the existing bridge and the erection of a replacement </w:t>
      </w:r>
      <w:r w:rsidR="00994979">
        <w:rPr>
          <w:rFonts w:cs="Arial"/>
        </w:rPr>
        <w:t xml:space="preserve">bridge </w:t>
      </w:r>
      <w:r w:rsidR="00994979" w:rsidRPr="00994979">
        <w:rPr>
          <w:rFonts w:cs="Arial"/>
        </w:rPr>
        <w:t xml:space="preserve">immediately adjacent to </w:t>
      </w:r>
      <w:proofErr w:type="spellStart"/>
      <w:r w:rsidR="00994979" w:rsidRPr="00994979">
        <w:rPr>
          <w:rFonts w:cs="Arial"/>
        </w:rPr>
        <w:t>it</w:t>
      </w:r>
      <w:proofErr w:type="spellEnd"/>
      <w:r w:rsidR="00994979" w:rsidRPr="00994979">
        <w:rPr>
          <w:rFonts w:cs="Arial"/>
        </w:rPr>
        <w:t xml:space="preserve"> which would incorporate the flights of steps to</w:t>
      </w:r>
      <w:r w:rsidR="00994979">
        <w:rPr>
          <w:rFonts w:cs="Arial"/>
        </w:rPr>
        <w:t xml:space="preserve"> its eastern and western ends and was given the reference 12/03182/PA11.  </w:t>
      </w:r>
    </w:p>
    <w:p w:rsidR="00994979" w:rsidRDefault="00994979" w:rsidP="00F22CD0">
      <w:pPr>
        <w:ind w:left="720" w:hanging="720"/>
        <w:jc w:val="both"/>
        <w:rPr>
          <w:rFonts w:cs="Arial"/>
        </w:rPr>
      </w:pPr>
    </w:p>
    <w:p w:rsidR="00952D43" w:rsidRDefault="00994979" w:rsidP="00F22CD0">
      <w:pPr>
        <w:ind w:left="720" w:hanging="720"/>
        <w:jc w:val="both"/>
        <w:rPr>
          <w:rFonts w:cs="Arial"/>
        </w:rPr>
      </w:pPr>
      <w:r>
        <w:rPr>
          <w:rFonts w:cs="Arial"/>
        </w:rPr>
        <w:t>3.2</w:t>
      </w:r>
      <w:r>
        <w:rPr>
          <w:rFonts w:cs="Arial"/>
        </w:rPr>
        <w:tab/>
      </w:r>
      <w:r w:rsidR="00952D43" w:rsidRPr="00952D43">
        <w:rPr>
          <w:rFonts w:cs="Arial"/>
        </w:rPr>
        <w:t>Receipt of the application was advertised in the City Council</w:t>
      </w:r>
      <w:r w:rsidR="00410CC3">
        <w:rPr>
          <w:rFonts w:cs="Arial"/>
        </w:rPr>
        <w:t>’/</w:t>
      </w:r>
      <w:r w:rsidR="00952D43" w:rsidRPr="00952D43">
        <w:rPr>
          <w:rFonts w:cs="Arial"/>
        </w:rPr>
        <w:t>s weekly list of planning applications received and the Local Planning Authority consulted the owners/</w:t>
      </w:r>
      <w:r>
        <w:rPr>
          <w:rFonts w:cs="Arial"/>
        </w:rPr>
        <w:t>occupiers of the surrounding area by the erection of</w:t>
      </w:r>
      <w:r w:rsidR="002A201A">
        <w:rPr>
          <w:rFonts w:cs="Arial"/>
        </w:rPr>
        <w:t xml:space="preserve"> site notice</w:t>
      </w:r>
      <w:r w:rsidR="00F23B4A">
        <w:rPr>
          <w:rFonts w:cs="Arial"/>
        </w:rPr>
        <w:t>s</w:t>
      </w:r>
      <w:r w:rsidR="002A201A">
        <w:rPr>
          <w:rFonts w:cs="Arial"/>
        </w:rPr>
        <w:t xml:space="preserve"> </w:t>
      </w:r>
      <w:r>
        <w:rPr>
          <w:rFonts w:cs="Arial"/>
        </w:rPr>
        <w:t xml:space="preserve">in the </w:t>
      </w:r>
      <w:r w:rsidR="00F23B4A">
        <w:rPr>
          <w:rFonts w:cs="Arial"/>
        </w:rPr>
        <w:t>immediate vicinity of the bridge</w:t>
      </w:r>
      <w:r w:rsidR="00311509">
        <w:rPr>
          <w:rFonts w:cs="Arial"/>
        </w:rPr>
        <w:t xml:space="preserve"> inviting comments by 31</w:t>
      </w:r>
      <w:r w:rsidR="00311509" w:rsidRPr="00311509">
        <w:rPr>
          <w:rFonts w:cs="Arial"/>
          <w:vertAlign w:val="superscript"/>
        </w:rPr>
        <w:t>st</w:t>
      </w:r>
      <w:r w:rsidR="00311509">
        <w:rPr>
          <w:rFonts w:cs="Arial"/>
        </w:rPr>
        <w:t xml:space="preserve"> January 2013</w:t>
      </w:r>
      <w:r w:rsidR="002A201A">
        <w:rPr>
          <w:rFonts w:cs="Arial"/>
        </w:rPr>
        <w:t xml:space="preserve">.  </w:t>
      </w:r>
    </w:p>
    <w:p w:rsidR="002A201A" w:rsidRDefault="002A201A" w:rsidP="00F22CD0">
      <w:pPr>
        <w:jc w:val="both"/>
        <w:rPr>
          <w:rFonts w:cs="Arial"/>
        </w:rPr>
      </w:pPr>
    </w:p>
    <w:p w:rsidR="00B96445" w:rsidRDefault="009A50C8" w:rsidP="00F22CD0">
      <w:pPr>
        <w:ind w:left="720" w:hanging="720"/>
        <w:jc w:val="both"/>
        <w:rPr>
          <w:rFonts w:cs="Arial"/>
        </w:rPr>
      </w:pPr>
      <w:r>
        <w:rPr>
          <w:rFonts w:cs="Arial"/>
        </w:rPr>
        <w:t>3.</w:t>
      </w:r>
      <w:r w:rsidR="00B96445">
        <w:rPr>
          <w:rFonts w:cs="Arial"/>
        </w:rPr>
        <w:t>3</w:t>
      </w:r>
      <w:r>
        <w:rPr>
          <w:rFonts w:cs="Arial"/>
        </w:rPr>
        <w:tab/>
      </w:r>
      <w:r w:rsidR="002A201A">
        <w:rPr>
          <w:rFonts w:cs="Arial"/>
        </w:rPr>
        <w:t xml:space="preserve">Amended plans were received to show a </w:t>
      </w:r>
      <w:r w:rsidR="00B96445">
        <w:rPr>
          <w:rFonts w:cs="Arial"/>
        </w:rPr>
        <w:t>wheeled track along one side of each of the flight of steps which would enable cycles to be wheeled up and over the footbridge.</w:t>
      </w:r>
    </w:p>
    <w:p w:rsidR="009A50C8" w:rsidRDefault="009A50C8" w:rsidP="00F22CD0">
      <w:pPr>
        <w:jc w:val="both"/>
      </w:pPr>
    </w:p>
    <w:p w:rsidR="00CF725D" w:rsidRDefault="009A50C8" w:rsidP="00F22CD0">
      <w:pPr>
        <w:ind w:left="720" w:hanging="720"/>
        <w:jc w:val="both"/>
        <w:rPr>
          <w:rFonts w:cs="Arial"/>
        </w:rPr>
      </w:pPr>
      <w:r>
        <w:rPr>
          <w:rFonts w:cs="Arial"/>
        </w:rPr>
        <w:t>3.3</w:t>
      </w:r>
      <w:r>
        <w:rPr>
          <w:rFonts w:cs="Arial"/>
        </w:rPr>
        <w:tab/>
      </w:r>
      <w:r w:rsidR="00CF725D">
        <w:rPr>
          <w:rFonts w:cs="Arial"/>
        </w:rPr>
        <w:t xml:space="preserve">Representation, including an online petition which at the time of </w:t>
      </w:r>
      <w:r w:rsidR="001416E5">
        <w:rPr>
          <w:rFonts w:cs="Arial"/>
        </w:rPr>
        <w:t>receipt</w:t>
      </w:r>
      <w:r w:rsidR="00CF725D">
        <w:rPr>
          <w:rFonts w:cs="Arial"/>
        </w:rPr>
        <w:t xml:space="preserve"> had 434 signatures, were received all of which have previously been submitted with the Questionnaire.   </w:t>
      </w:r>
    </w:p>
    <w:p w:rsidR="00CF725D" w:rsidRDefault="00CF725D" w:rsidP="00F22CD0">
      <w:pPr>
        <w:jc w:val="both"/>
        <w:rPr>
          <w:rFonts w:cs="Arial"/>
        </w:rPr>
      </w:pPr>
    </w:p>
    <w:p w:rsidR="00952D43" w:rsidRDefault="001416E5" w:rsidP="00F22CD0">
      <w:pPr>
        <w:ind w:left="720" w:hanging="720"/>
        <w:jc w:val="both"/>
        <w:rPr>
          <w:rFonts w:cs="Arial"/>
        </w:rPr>
      </w:pPr>
      <w:r>
        <w:rPr>
          <w:rFonts w:cs="Arial"/>
        </w:rPr>
        <w:t>3.4</w:t>
      </w:r>
      <w:r>
        <w:rPr>
          <w:rFonts w:cs="Arial"/>
        </w:rPr>
        <w:tab/>
      </w:r>
      <w:r w:rsidR="00952D43" w:rsidRPr="00952D43">
        <w:rPr>
          <w:rFonts w:cs="Arial"/>
        </w:rPr>
        <w:t>Statutory consultee representations were recei</w:t>
      </w:r>
      <w:r w:rsidR="009A50C8">
        <w:rPr>
          <w:rFonts w:cs="Arial"/>
        </w:rPr>
        <w:t>ved from the</w:t>
      </w:r>
      <w:r>
        <w:rPr>
          <w:rFonts w:cs="Arial"/>
        </w:rPr>
        <w:t xml:space="preserve"> Environment Agency Thames Region and South Hinksey Parish Council.</w:t>
      </w:r>
      <w:r w:rsidR="009A50C8">
        <w:rPr>
          <w:rFonts w:cs="Arial"/>
        </w:rPr>
        <w:t xml:space="preserve">  </w:t>
      </w:r>
      <w:r w:rsidR="00952D43" w:rsidRPr="00952D43">
        <w:rPr>
          <w:rFonts w:cs="Arial"/>
        </w:rPr>
        <w:t>These have previously been submitted with the Questionnaire.</w:t>
      </w:r>
    </w:p>
    <w:p w:rsidR="00DF7F6A" w:rsidRDefault="00DF7F6A" w:rsidP="00F22CD0">
      <w:pPr>
        <w:jc w:val="both"/>
        <w:rPr>
          <w:rFonts w:cs="Arial"/>
        </w:rPr>
      </w:pPr>
    </w:p>
    <w:p w:rsidR="001416E5" w:rsidRPr="00952D43" w:rsidRDefault="0016718C" w:rsidP="00F22CD0">
      <w:pPr>
        <w:ind w:left="720" w:hanging="720"/>
        <w:jc w:val="both"/>
        <w:rPr>
          <w:rFonts w:cs="Arial"/>
        </w:rPr>
      </w:pPr>
      <w:r>
        <w:rPr>
          <w:rFonts w:cs="Arial"/>
        </w:rPr>
        <w:t>3.5</w:t>
      </w:r>
      <w:r>
        <w:rPr>
          <w:rFonts w:cs="Arial"/>
        </w:rPr>
        <w:tab/>
      </w:r>
      <w:r w:rsidR="00DF7F6A" w:rsidRPr="00DF7F6A">
        <w:rPr>
          <w:rFonts w:cs="Arial"/>
        </w:rPr>
        <w:t xml:space="preserve">The application was </w:t>
      </w:r>
      <w:r w:rsidR="00410CC3">
        <w:rPr>
          <w:rFonts w:cs="Arial"/>
        </w:rPr>
        <w:t xml:space="preserve">originally </w:t>
      </w:r>
      <w:r w:rsidR="00A72AA9">
        <w:rPr>
          <w:rFonts w:cs="Arial"/>
        </w:rPr>
        <w:t>scheduled</w:t>
      </w:r>
      <w:r w:rsidR="00410CC3">
        <w:rPr>
          <w:rFonts w:cs="Arial"/>
        </w:rPr>
        <w:t xml:space="preserve"> to be determined by officers using </w:t>
      </w:r>
      <w:r w:rsidR="00DF7F6A" w:rsidRPr="00DF7F6A">
        <w:rPr>
          <w:rFonts w:cs="Arial"/>
        </w:rPr>
        <w:t>delegated powers.  However</w:t>
      </w:r>
      <w:r w:rsidR="00410CC3">
        <w:rPr>
          <w:rFonts w:cs="Arial"/>
        </w:rPr>
        <w:t>, on this occasion elected members decided to determine the application themselves</w:t>
      </w:r>
      <w:r w:rsidR="00DF7F6A">
        <w:rPr>
          <w:rFonts w:cs="Arial"/>
        </w:rPr>
        <w:t xml:space="preserve"> at </w:t>
      </w:r>
      <w:r w:rsidR="00410CC3">
        <w:rPr>
          <w:rFonts w:cs="Arial"/>
        </w:rPr>
        <w:t xml:space="preserve">the </w:t>
      </w:r>
      <w:r w:rsidR="00DF7F6A">
        <w:rPr>
          <w:rFonts w:cs="Arial"/>
        </w:rPr>
        <w:t>West</w:t>
      </w:r>
      <w:r w:rsidR="00DF7F6A" w:rsidRPr="00DF7F6A">
        <w:rPr>
          <w:rFonts w:cs="Arial"/>
        </w:rPr>
        <w:t xml:space="preserve"> Area Planni</w:t>
      </w:r>
      <w:r w:rsidR="00DF7F6A">
        <w:rPr>
          <w:rFonts w:cs="Arial"/>
        </w:rPr>
        <w:t xml:space="preserve">ng Committee due to concerns </w:t>
      </w:r>
      <w:r w:rsidR="00A72AA9">
        <w:rPr>
          <w:rFonts w:cs="Arial"/>
        </w:rPr>
        <w:t>that the design of the new bridge would injure the amenity of the local neighbourhoods by failing to be constructed in a way that would be</w:t>
      </w:r>
      <w:r w:rsidR="00DF7F6A">
        <w:t xml:space="preserve"> disabled/cycle/buggy accessible </w:t>
      </w:r>
      <w:r w:rsidR="00A72AA9">
        <w:t>when</w:t>
      </w:r>
      <w:r w:rsidR="00DF7F6A">
        <w:t xml:space="preserve"> an alternative design </w:t>
      </w:r>
      <w:r w:rsidR="00A72AA9">
        <w:t>would appear to be</w:t>
      </w:r>
      <w:r w:rsidR="00DF7F6A">
        <w:t xml:space="preserve"> possible that </w:t>
      </w:r>
      <w:r w:rsidR="00A72AA9">
        <w:t xml:space="preserve">avoided injury to local amenity in this way </w:t>
      </w:r>
      <w:r w:rsidR="00DF7F6A">
        <w:t xml:space="preserve">and </w:t>
      </w:r>
      <w:r w:rsidR="00A72AA9">
        <w:t xml:space="preserve">would </w:t>
      </w:r>
      <w:r w:rsidR="00DF7F6A">
        <w:t>not</w:t>
      </w:r>
      <w:r w:rsidR="00A72AA9">
        <w:t xml:space="preserve"> be</w:t>
      </w:r>
      <w:r w:rsidR="00DF7F6A">
        <w:t xml:space="preserve"> substantially more expensive.</w:t>
      </w:r>
      <w:r w:rsidR="00DF7F6A">
        <w:rPr>
          <w:rFonts w:cs="Arial"/>
        </w:rPr>
        <w:t xml:space="preserve">  </w:t>
      </w:r>
      <w:r w:rsidR="00DF7F6A" w:rsidRPr="00DF7F6A">
        <w:rPr>
          <w:rFonts w:cs="Arial"/>
        </w:rPr>
        <w:t xml:space="preserve">The </w:t>
      </w:r>
      <w:r w:rsidR="00410CC3">
        <w:rPr>
          <w:rFonts w:cs="Arial"/>
        </w:rPr>
        <w:t xml:space="preserve">Council </w:t>
      </w:r>
      <w:r w:rsidR="00A72AA9">
        <w:rPr>
          <w:rFonts w:cs="Arial"/>
        </w:rPr>
        <w:t>subsequently determined not to</w:t>
      </w:r>
      <w:r w:rsidR="00410CC3">
        <w:rPr>
          <w:rFonts w:cs="Arial"/>
        </w:rPr>
        <w:t xml:space="preserve"> grant prior approval</w:t>
      </w:r>
      <w:r w:rsidR="00DF7F6A" w:rsidRPr="00DF7F6A">
        <w:rPr>
          <w:rFonts w:cs="Arial"/>
        </w:rPr>
        <w:t xml:space="preserve"> for the reason set out in the decision</w:t>
      </w:r>
      <w:r>
        <w:rPr>
          <w:rFonts w:cs="Arial"/>
        </w:rPr>
        <w:t xml:space="preserve"> notice dated 26</w:t>
      </w:r>
      <w:r w:rsidRPr="0016718C">
        <w:rPr>
          <w:rFonts w:cs="Arial"/>
          <w:vertAlign w:val="superscript"/>
        </w:rPr>
        <w:t>th</w:t>
      </w:r>
      <w:r>
        <w:rPr>
          <w:rFonts w:cs="Arial"/>
        </w:rPr>
        <w:t xml:space="preserve"> March 2013</w:t>
      </w:r>
      <w:r w:rsidR="00DF7F6A" w:rsidRPr="00DF7F6A">
        <w:rPr>
          <w:rFonts w:cs="Arial"/>
        </w:rPr>
        <w:t xml:space="preserve"> which can be found at </w:t>
      </w:r>
      <w:r w:rsidR="00DF7F6A" w:rsidRPr="0016718C">
        <w:rPr>
          <w:rFonts w:cs="Arial"/>
          <w:b/>
        </w:rPr>
        <w:t xml:space="preserve">Appendix </w:t>
      </w:r>
      <w:r w:rsidR="006B61D5">
        <w:rPr>
          <w:rFonts w:cs="Arial"/>
          <w:b/>
        </w:rPr>
        <w:t>B</w:t>
      </w:r>
      <w:r w:rsidR="00DF7F6A" w:rsidRPr="00DF7F6A">
        <w:rPr>
          <w:rFonts w:cs="Arial"/>
        </w:rPr>
        <w:t xml:space="preserve"> and </w:t>
      </w:r>
      <w:r w:rsidR="00410CC3">
        <w:rPr>
          <w:rFonts w:cs="Arial"/>
        </w:rPr>
        <w:t xml:space="preserve">which is </w:t>
      </w:r>
      <w:r w:rsidR="00A72AA9">
        <w:rPr>
          <w:rFonts w:cs="Arial"/>
        </w:rPr>
        <w:t>amplified</w:t>
      </w:r>
      <w:r w:rsidR="00A72AA9" w:rsidRPr="00DF7F6A">
        <w:rPr>
          <w:rFonts w:cs="Arial"/>
        </w:rPr>
        <w:t xml:space="preserve"> </w:t>
      </w:r>
      <w:r w:rsidR="00DF7F6A" w:rsidRPr="00DF7F6A">
        <w:rPr>
          <w:rFonts w:cs="Arial"/>
        </w:rPr>
        <w:t>below.</w:t>
      </w:r>
    </w:p>
    <w:p w:rsidR="0045481B" w:rsidRDefault="0045481B" w:rsidP="004656BC">
      <w:pPr>
        <w:jc w:val="both"/>
        <w:rPr>
          <w:rFonts w:cs="Arial"/>
        </w:rPr>
      </w:pPr>
    </w:p>
    <w:p w:rsidR="0045481B" w:rsidRPr="0045481B" w:rsidRDefault="0045481B" w:rsidP="004656BC">
      <w:pPr>
        <w:jc w:val="both"/>
        <w:rPr>
          <w:rFonts w:cs="Arial"/>
          <w:b/>
        </w:rPr>
      </w:pPr>
      <w:r>
        <w:rPr>
          <w:rFonts w:cs="Arial"/>
          <w:b/>
        </w:rPr>
        <w:t>4.</w:t>
      </w:r>
      <w:r>
        <w:rPr>
          <w:rFonts w:cs="Arial"/>
          <w:b/>
        </w:rPr>
        <w:tab/>
      </w:r>
      <w:r w:rsidRPr="0045481B">
        <w:rPr>
          <w:rFonts w:cs="Arial"/>
          <w:b/>
        </w:rPr>
        <w:t>Relevant Planning Policy</w:t>
      </w:r>
    </w:p>
    <w:p w:rsidR="0045481B" w:rsidRDefault="0045481B" w:rsidP="004656BC">
      <w:pPr>
        <w:jc w:val="both"/>
        <w:rPr>
          <w:rFonts w:cs="Arial"/>
        </w:rPr>
      </w:pPr>
    </w:p>
    <w:p w:rsidR="0045481B" w:rsidRPr="0045481B" w:rsidRDefault="00EE6750" w:rsidP="004656BC">
      <w:pPr>
        <w:jc w:val="both"/>
        <w:rPr>
          <w:rFonts w:cs="Arial"/>
          <w:u w:val="single"/>
        </w:rPr>
      </w:pPr>
      <w:r>
        <w:rPr>
          <w:rFonts w:cs="Arial"/>
        </w:rPr>
        <w:t>4.1</w:t>
      </w:r>
      <w:r>
        <w:rPr>
          <w:rFonts w:cs="Arial"/>
        </w:rPr>
        <w:tab/>
      </w:r>
      <w:r w:rsidR="0045481B" w:rsidRPr="0045481B">
        <w:rPr>
          <w:rFonts w:cs="Arial"/>
          <w:u w:val="single"/>
        </w:rPr>
        <w:t>National Policy Guidance</w:t>
      </w:r>
    </w:p>
    <w:p w:rsidR="0045481B" w:rsidRPr="0045481B" w:rsidRDefault="0045481B" w:rsidP="004656BC">
      <w:pPr>
        <w:jc w:val="both"/>
        <w:rPr>
          <w:rFonts w:cs="Arial"/>
        </w:rPr>
      </w:pPr>
    </w:p>
    <w:p w:rsidR="0045481B" w:rsidRDefault="00EE6750" w:rsidP="004656BC">
      <w:pPr>
        <w:ind w:left="720" w:hanging="720"/>
        <w:jc w:val="both"/>
        <w:rPr>
          <w:rFonts w:cs="Arial"/>
        </w:rPr>
      </w:pPr>
      <w:r>
        <w:rPr>
          <w:rFonts w:cs="Arial"/>
        </w:rPr>
        <w:t>4.1.1</w:t>
      </w:r>
      <w:r>
        <w:rPr>
          <w:rFonts w:cs="Arial"/>
        </w:rPr>
        <w:tab/>
      </w:r>
      <w:r w:rsidR="0045481B" w:rsidRPr="0045481B">
        <w:rPr>
          <w:rFonts w:cs="Arial"/>
        </w:rPr>
        <w:t>With regards to national policy guidance, the National Planning Policy Framework</w:t>
      </w:r>
      <w:r>
        <w:rPr>
          <w:rFonts w:cs="Arial"/>
        </w:rPr>
        <w:t xml:space="preserve"> (NPPF)</w:t>
      </w:r>
      <w:r w:rsidR="0045481B" w:rsidRPr="0045481B">
        <w:rPr>
          <w:rFonts w:cs="Arial"/>
        </w:rPr>
        <w:t xml:space="preserve"> is relevant to the determination of the appeal</w:t>
      </w:r>
      <w:r>
        <w:rPr>
          <w:rFonts w:cs="Arial"/>
        </w:rPr>
        <w:t>.</w:t>
      </w:r>
    </w:p>
    <w:p w:rsidR="00EE6750" w:rsidRDefault="00EE6750" w:rsidP="004656BC">
      <w:pPr>
        <w:jc w:val="both"/>
        <w:rPr>
          <w:rFonts w:cs="Arial"/>
        </w:rPr>
      </w:pPr>
    </w:p>
    <w:p w:rsidR="00EE6750" w:rsidRDefault="00EE6750" w:rsidP="004656BC">
      <w:pPr>
        <w:ind w:left="720" w:hanging="720"/>
        <w:jc w:val="both"/>
      </w:pPr>
      <w:r>
        <w:t>4.1.2</w:t>
      </w:r>
      <w:r>
        <w:tab/>
        <w:t>As of 27</w:t>
      </w:r>
      <w:r w:rsidRPr="006E77C6">
        <w:rPr>
          <w:vertAlign w:val="superscript"/>
        </w:rPr>
        <w:t>th</w:t>
      </w:r>
      <w:r>
        <w:t xml:space="preserve"> March 2012 the NPPF replaced various Planning Policy Statements (PPS’s) and Planning Policy Guidance Notes (PPG’s) which are now withdrawn. </w:t>
      </w:r>
    </w:p>
    <w:p w:rsidR="00EE6750" w:rsidRDefault="00EE6750" w:rsidP="004656BC">
      <w:pPr>
        <w:jc w:val="both"/>
      </w:pPr>
    </w:p>
    <w:p w:rsidR="00EE6750" w:rsidRDefault="00EE6750" w:rsidP="004656BC">
      <w:pPr>
        <w:ind w:left="720" w:hanging="720"/>
        <w:jc w:val="both"/>
      </w:pPr>
      <w:r>
        <w:t>4.1.3</w:t>
      </w:r>
      <w:r>
        <w:tab/>
        <w:t xml:space="preserve">The NPPF makes clear that for the purposes of decision taking, the policies of the development plan should not be considered out-of-date simply because they were adopted prior to the publication of the Framework (paragraph 211).  </w:t>
      </w:r>
    </w:p>
    <w:p w:rsidR="00EE6750" w:rsidRDefault="00EE6750" w:rsidP="004656BC">
      <w:pPr>
        <w:jc w:val="both"/>
      </w:pPr>
    </w:p>
    <w:p w:rsidR="00EE6750" w:rsidRPr="001A7E76" w:rsidRDefault="00EE6750" w:rsidP="004656BC">
      <w:pPr>
        <w:ind w:left="720" w:hanging="720"/>
        <w:jc w:val="both"/>
      </w:pPr>
      <w:r>
        <w:t>4.1.4</w:t>
      </w:r>
      <w:r>
        <w:tab/>
      </w:r>
      <w:r w:rsidRPr="001A7E76">
        <w:t>It recognises that development plan policies may need to be revised to take into account the policies within the Framework (paragraph 212), but for 12 months from the date of publication, decision-takers may continue to give full weight to the relevant development plan policies adopted since 2004 even if there is a limited degree of conflict with the Framework (paragraph 214).</w:t>
      </w:r>
      <w:r>
        <w:t xml:space="preserve">  </w:t>
      </w:r>
      <w:r w:rsidRPr="001A7E76">
        <w:t xml:space="preserve">The NPPF sets out a presumption in favour of sustainable development, which means approving applications in accordance with the development plan.  </w:t>
      </w:r>
    </w:p>
    <w:p w:rsidR="0045481B" w:rsidRDefault="0045481B" w:rsidP="004656BC">
      <w:pPr>
        <w:jc w:val="both"/>
        <w:rPr>
          <w:rFonts w:cs="Arial"/>
        </w:rPr>
      </w:pPr>
    </w:p>
    <w:p w:rsidR="0045481B" w:rsidRDefault="00EE6750" w:rsidP="004656BC">
      <w:pPr>
        <w:jc w:val="both"/>
        <w:rPr>
          <w:rFonts w:cs="Arial"/>
        </w:rPr>
      </w:pPr>
      <w:r>
        <w:rPr>
          <w:rFonts w:cs="Arial"/>
        </w:rPr>
        <w:t>4.2</w:t>
      </w:r>
      <w:r>
        <w:rPr>
          <w:rFonts w:cs="Arial"/>
        </w:rPr>
        <w:tab/>
      </w:r>
      <w:r w:rsidR="0045481B" w:rsidRPr="0045481B">
        <w:rPr>
          <w:rFonts w:cs="Arial"/>
          <w:u w:val="single"/>
        </w:rPr>
        <w:t>The Development Plan</w:t>
      </w:r>
    </w:p>
    <w:p w:rsidR="0045481B" w:rsidRDefault="0045481B" w:rsidP="004656BC">
      <w:pPr>
        <w:jc w:val="both"/>
        <w:rPr>
          <w:rFonts w:cs="Arial"/>
        </w:rPr>
      </w:pPr>
    </w:p>
    <w:p w:rsidR="0045481B" w:rsidRPr="0045481B" w:rsidRDefault="007E43D1" w:rsidP="004656BC">
      <w:pPr>
        <w:ind w:left="720" w:hanging="720"/>
        <w:jc w:val="both"/>
        <w:rPr>
          <w:rFonts w:cs="Arial"/>
        </w:rPr>
      </w:pPr>
      <w:r>
        <w:rPr>
          <w:rFonts w:cs="Arial"/>
        </w:rPr>
        <w:t>4.2.1</w:t>
      </w:r>
      <w:r>
        <w:rPr>
          <w:rFonts w:cs="Arial"/>
        </w:rPr>
        <w:tab/>
      </w:r>
      <w:r w:rsidR="00194D23">
        <w:rPr>
          <w:rFonts w:cs="Arial"/>
        </w:rPr>
        <w:t>Section 38</w:t>
      </w:r>
      <w:r w:rsidR="0045481B" w:rsidRPr="0045481B">
        <w:rPr>
          <w:rFonts w:cs="Arial"/>
        </w:rPr>
        <w:t>(6) of the Planning and Compulsory Purchase Act 2004 provides that planning applications and appeals should be determined in accordance with the Development Plan unless material considerations indicate otherwise.</w:t>
      </w:r>
    </w:p>
    <w:p w:rsidR="0045481B" w:rsidRPr="0045481B" w:rsidRDefault="0045481B" w:rsidP="004656BC">
      <w:pPr>
        <w:jc w:val="both"/>
        <w:rPr>
          <w:rFonts w:cs="Arial"/>
        </w:rPr>
      </w:pPr>
    </w:p>
    <w:p w:rsidR="0045481B" w:rsidRPr="00194D23" w:rsidRDefault="007E43D1" w:rsidP="004656BC">
      <w:pPr>
        <w:ind w:left="720" w:hanging="720"/>
        <w:jc w:val="both"/>
        <w:rPr>
          <w:rFonts w:cs="Arial"/>
        </w:rPr>
      </w:pPr>
      <w:r>
        <w:rPr>
          <w:rFonts w:cs="Arial"/>
        </w:rPr>
        <w:t>4.2.2</w:t>
      </w:r>
      <w:r>
        <w:rPr>
          <w:rFonts w:cs="Arial"/>
        </w:rPr>
        <w:tab/>
      </w:r>
      <w:r w:rsidR="0045481B" w:rsidRPr="0045481B">
        <w:rPr>
          <w:rFonts w:cs="Arial"/>
        </w:rPr>
        <w:t>The Development Plan for the City of Oxford comprises the Oxfordshire County Structure Plan 2016 (adopted 21st October 2005); Oxford Core Strategy 202</w:t>
      </w:r>
      <w:r w:rsidR="00194D23">
        <w:rPr>
          <w:rFonts w:cs="Arial"/>
        </w:rPr>
        <w:t>6 (adopted 14th March 2011),</w:t>
      </w:r>
      <w:r w:rsidR="0045481B" w:rsidRPr="0045481B">
        <w:rPr>
          <w:rFonts w:cs="Arial"/>
        </w:rPr>
        <w:t xml:space="preserve"> the Oxford Local Plan 2001-2016 (adopted 11th November 2005),</w:t>
      </w:r>
      <w:r w:rsidR="00194D23">
        <w:rPr>
          <w:rFonts w:cs="Arial"/>
        </w:rPr>
        <w:t xml:space="preserve"> and</w:t>
      </w:r>
      <w:r w:rsidR="0045481B" w:rsidRPr="0045481B">
        <w:rPr>
          <w:rFonts w:cs="Arial"/>
        </w:rPr>
        <w:t xml:space="preserve"> Sites and Housing Plan </w:t>
      </w:r>
      <w:r w:rsidR="00194D23" w:rsidRPr="00194D23">
        <w:rPr>
          <w:rFonts w:cs="Arial"/>
        </w:rPr>
        <w:t>2011-2026 (adopted February 2013</w:t>
      </w:r>
      <w:r w:rsidR="00194D23">
        <w:rPr>
          <w:rFonts w:cs="Arial"/>
        </w:rPr>
        <w:t xml:space="preserve">).  </w:t>
      </w:r>
    </w:p>
    <w:p w:rsidR="0045481B" w:rsidRPr="0045481B" w:rsidRDefault="0045481B" w:rsidP="004656BC">
      <w:pPr>
        <w:jc w:val="both"/>
        <w:rPr>
          <w:rFonts w:cs="Arial"/>
        </w:rPr>
      </w:pPr>
    </w:p>
    <w:p w:rsidR="00194D23" w:rsidRDefault="0045481B" w:rsidP="004656BC">
      <w:pPr>
        <w:ind w:firstLine="720"/>
        <w:jc w:val="both"/>
        <w:rPr>
          <w:rFonts w:cs="Arial"/>
          <w:i/>
        </w:rPr>
      </w:pPr>
      <w:r w:rsidRPr="0045481B">
        <w:rPr>
          <w:rFonts w:cs="Arial"/>
          <w:i/>
        </w:rPr>
        <w:t>Oxfordshire Structure Plan 2016 (adopted 21st October 2005)</w:t>
      </w:r>
    </w:p>
    <w:p w:rsidR="00194D23" w:rsidRPr="00194D23" w:rsidRDefault="00194D23" w:rsidP="004656BC">
      <w:pPr>
        <w:jc w:val="both"/>
        <w:rPr>
          <w:rFonts w:cs="Arial"/>
        </w:rPr>
      </w:pPr>
    </w:p>
    <w:p w:rsidR="0045481B" w:rsidRPr="00194D23" w:rsidRDefault="007E43D1" w:rsidP="004656BC">
      <w:pPr>
        <w:ind w:left="720" w:hanging="720"/>
        <w:jc w:val="both"/>
        <w:rPr>
          <w:rFonts w:cs="Arial"/>
          <w:i/>
        </w:rPr>
      </w:pPr>
      <w:r>
        <w:rPr>
          <w:rFonts w:cs="Arial"/>
        </w:rPr>
        <w:t>4.2.3</w:t>
      </w:r>
      <w:r>
        <w:rPr>
          <w:rFonts w:cs="Arial"/>
        </w:rPr>
        <w:tab/>
      </w:r>
      <w:r w:rsidR="0045481B" w:rsidRPr="0045481B">
        <w:rPr>
          <w:rFonts w:cs="Arial"/>
        </w:rPr>
        <w:t>The Oxfordshire Structure Plan was adopted on the 21st October 2005, but was superseded by the South East Plan.  However, three policies in the Oxfordshire Structure Plan 2016 have been saved beyond the publication</w:t>
      </w:r>
      <w:r w:rsidR="00194D23">
        <w:rPr>
          <w:rFonts w:cs="Arial"/>
        </w:rPr>
        <w:t xml:space="preserve"> and subsequent </w:t>
      </w:r>
      <w:r w:rsidR="00194D23">
        <w:rPr>
          <w:rFonts w:cs="Arial"/>
          <w:color w:val="000000"/>
        </w:rPr>
        <w:t>revocation of the Regional Strategy for the South East (except for policy NRM6)</w:t>
      </w:r>
      <w:r w:rsidR="0045481B" w:rsidRPr="0045481B">
        <w:rPr>
          <w:rFonts w:cs="Arial"/>
        </w:rPr>
        <w:t xml:space="preserve"> of the South East Plan, although these are not of relevance to this appeal.</w:t>
      </w:r>
    </w:p>
    <w:p w:rsidR="0045481B" w:rsidRPr="0045481B" w:rsidRDefault="0045481B" w:rsidP="004656BC">
      <w:pPr>
        <w:jc w:val="both"/>
        <w:rPr>
          <w:rFonts w:cs="Arial"/>
        </w:rPr>
      </w:pPr>
    </w:p>
    <w:p w:rsidR="0045481B" w:rsidRPr="0045481B" w:rsidRDefault="0045481B" w:rsidP="004656BC">
      <w:pPr>
        <w:ind w:firstLine="720"/>
        <w:jc w:val="both"/>
        <w:rPr>
          <w:rFonts w:cs="Arial"/>
          <w:i/>
        </w:rPr>
      </w:pPr>
      <w:r w:rsidRPr="0045481B">
        <w:rPr>
          <w:rFonts w:cs="Arial"/>
          <w:i/>
        </w:rPr>
        <w:t>Oxford Core Strategy 2026</w:t>
      </w:r>
    </w:p>
    <w:p w:rsidR="0045481B" w:rsidRDefault="0045481B" w:rsidP="004656BC">
      <w:pPr>
        <w:jc w:val="both"/>
        <w:rPr>
          <w:rFonts w:cs="Arial"/>
        </w:rPr>
      </w:pPr>
    </w:p>
    <w:p w:rsidR="0045481B" w:rsidRPr="0045481B" w:rsidRDefault="007E43D1" w:rsidP="004656BC">
      <w:pPr>
        <w:ind w:left="720" w:hanging="720"/>
        <w:jc w:val="both"/>
        <w:rPr>
          <w:rFonts w:cs="Arial"/>
        </w:rPr>
      </w:pPr>
      <w:r>
        <w:rPr>
          <w:rFonts w:cs="Arial"/>
        </w:rPr>
        <w:t>4.2.4</w:t>
      </w:r>
      <w:r>
        <w:rPr>
          <w:rFonts w:cs="Arial"/>
        </w:rPr>
        <w:tab/>
      </w:r>
      <w:r w:rsidR="0045481B" w:rsidRPr="0045481B">
        <w:rPr>
          <w:rFonts w:cs="Arial"/>
        </w:rPr>
        <w:t>The Oxford Core Strategy 2026 was adopted in March 2011 and provides the overarching document for the Local Development Framework.  As a result of its adoption, the policies contained within this document replaced a number of the saved policies within the Oxford Local Plan 2001-2016.</w:t>
      </w:r>
    </w:p>
    <w:p w:rsidR="0045481B" w:rsidRPr="0045481B" w:rsidRDefault="0045481B" w:rsidP="004656BC">
      <w:pPr>
        <w:jc w:val="both"/>
        <w:rPr>
          <w:rFonts w:cs="Arial"/>
        </w:rPr>
      </w:pPr>
    </w:p>
    <w:p w:rsidR="0045481B" w:rsidRPr="0045481B" w:rsidRDefault="007E43D1" w:rsidP="004656BC">
      <w:pPr>
        <w:jc w:val="both"/>
        <w:rPr>
          <w:rFonts w:cs="Arial"/>
        </w:rPr>
      </w:pPr>
      <w:r>
        <w:rPr>
          <w:rFonts w:cs="Arial"/>
        </w:rPr>
        <w:t>4.2.5</w:t>
      </w:r>
      <w:r>
        <w:rPr>
          <w:rFonts w:cs="Arial"/>
        </w:rPr>
        <w:tab/>
      </w:r>
      <w:r w:rsidR="0045481B" w:rsidRPr="0045481B">
        <w:rPr>
          <w:rFonts w:cs="Arial"/>
        </w:rPr>
        <w:t>The following policies are considered relevant to this appeal</w:t>
      </w:r>
    </w:p>
    <w:p w:rsidR="0045481B" w:rsidRDefault="0045481B" w:rsidP="004656BC">
      <w:pPr>
        <w:jc w:val="both"/>
        <w:rPr>
          <w:rFonts w:cs="Arial"/>
        </w:rPr>
      </w:pPr>
    </w:p>
    <w:p w:rsidR="0016718C" w:rsidRPr="0016718C" w:rsidRDefault="0016718C" w:rsidP="004656BC">
      <w:pPr>
        <w:widowControl w:val="0"/>
        <w:numPr>
          <w:ilvl w:val="0"/>
          <w:numId w:val="14"/>
        </w:numPr>
        <w:autoSpaceDE w:val="0"/>
        <w:autoSpaceDN w:val="0"/>
        <w:jc w:val="both"/>
        <w:rPr>
          <w:rFonts w:cs="Arial"/>
        </w:rPr>
      </w:pPr>
      <w:r w:rsidRPr="0016718C">
        <w:rPr>
          <w:rFonts w:cs="Arial"/>
          <w:b/>
          <w:bCs/>
        </w:rPr>
        <w:t>CS4</w:t>
      </w:r>
      <w:r w:rsidRPr="0016718C">
        <w:rPr>
          <w:rFonts w:cs="Arial"/>
        </w:rPr>
        <w:t xml:space="preserve"> - Green Belt</w:t>
      </w:r>
    </w:p>
    <w:p w:rsidR="0016718C" w:rsidRPr="0016718C" w:rsidRDefault="0016718C" w:rsidP="004656BC">
      <w:pPr>
        <w:widowControl w:val="0"/>
        <w:numPr>
          <w:ilvl w:val="0"/>
          <w:numId w:val="14"/>
        </w:numPr>
        <w:autoSpaceDE w:val="0"/>
        <w:autoSpaceDN w:val="0"/>
        <w:jc w:val="both"/>
        <w:rPr>
          <w:rFonts w:cs="Arial"/>
        </w:rPr>
      </w:pPr>
      <w:r w:rsidRPr="0016718C">
        <w:rPr>
          <w:rFonts w:cs="Arial"/>
          <w:b/>
          <w:bCs/>
        </w:rPr>
        <w:t>CS11</w:t>
      </w:r>
      <w:r w:rsidRPr="0016718C">
        <w:rPr>
          <w:rFonts w:cs="Arial"/>
        </w:rPr>
        <w:t xml:space="preserve"> - Flooding</w:t>
      </w:r>
    </w:p>
    <w:p w:rsidR="0016718C" w:rsidRPr="0016718C" w:rsidRDefault="0016718C" w:rsidP="004656BC">
      <w:pPr>
        <w:widowControl w:val="0"/>
        <w:numPr>
          <w:ilvl w:val="0"/>
          <w:numId w:val="14"/>
        </w:numPr>
        <w:autoSpaceDE w:val="0"/>
        <w:autoSpaceDN w:val="0"/>
        <w:jc w:val="both"/>
        <w:rPr>
          <w:rFonts w:cs="Arial"/>
        </w:rPr>
      </w:pPr>
      <w:r w:rsidRPr="0016718C">
        <w:rPr>
          <w:rFonts w:cs="Arial"/>
          <w:b/>
          <w:bCs/>
        </w:rPr>
        <w:lastRenderedPageBreak/>
        <w:t>CS12</w:t>
      </w:r>
      <w:r w:rsidRPr="0016718C">
        <w:rPr>
          <w:rFonts w:cs="Arial"/>
        </w:rPr>
        <w:t xml:space="preserve"> - Biodiversity</w:t>
      </w:r>
    </w:p>
    <w:p w:rsidR="0016718C" w:rsidRPr="0016718C" w:rsidRDefault="0016718C" w:rsidP="004656BC">
      <w:pPr>
        <w:widowControl w:val="0"/>
        <w:numPr>
          <w:ilvl w:val="0"/>
          <w:numId w:val="14"/>
        </w:numPr>
        <w:autoSpaceDE w:val="0"/>
        <w:autoSpaceDN w:val="0"/>
        <w:jc w:val="both"/>
        <w:rPr>
          <w:rFonts w:cs="Arial"/>
        </w:rPr>
      </w:pPr>
      <w:r w:rsidRPr="0016718C">
        <w:rPr>
          <w:rFonts w:cs="Arial"/>
          <w:b/>
          <w:bCs/>
        </w:rPr>
        <w:t>CS18</w:t>
      </w:r>
      <w:r w:rsidRPr="0016718C">
        <w:rPr>
          <w:rFonts w:cs="Arial"/>
        </w:rPr>
        <w:t xml:space="preserve"> - Urban design, town character, historic environment</w:t>
      </w:r>
    </w:p>
    <w:p w:rsidR="0016718C" w:rsidRDefault="0016718C" w:rsidP="004656BC">
      <w:pPr>
        <w:jc w:val="both"/>
        <w:rPr>
          <w:rFonts w:cs="Arial"/>
        </w:rPr>
      </w:pPr>
    </w:p>
    <w:p w:rsidR="0045481B" w:rsidRPr="0045481B" w:rsidRDefault="007E43D1" w:rsidP="004656BC">
      <w:pPr>
        <w:ind w:left="720" w:hanging="720"/>
        <w:jc w:val="both"/>
        <w:rPr>
          <w:rFonts w:cs="Arial"/>
        </w:rPr>
      </w:pPr>
      <w:r>
        <w:rPr>
          <w:rFonts w:cs="Arial"/>
        </w:rPr>
        <w:t>4.2.6</w:t>
      </w:r>
      <w:r>
        <w:rPr>
          <w:rFonts w:cs="Arial"/>
        </w:rPr>
        <w:tab/>
      </w:r>
      <w:r w:rsidR="0045481B" w:rsidRPr="0045481B">
        <w:rPr>
          <w:rFonts w:cs="Arial"/>
        </w:rPr>
        <w:t>Copies of these policies and the supporting text were included with the appeal questionnaire.</w:t>
      </w:r>
    </w:p>
    <w:p w:rsidR="0045481B" w:rsidRPr="0045481B" w:rsidRDefault="0045481B" w:rsidP="004656BC">
      <w:pPr>
        <w:jc w:val="both"/>
        <w:rPr>
          <w:rFonts w:cs="Arial"/>
        </w:rPr>
      </w:pPr>
    </w:p>
    <w:p w:rsidR="0045481B" w:rsidRPr="0045481B" w:rsidRDefault="0045481B" w:rsidP="004656BC">
      <w:pPr>
        <w:ind w:firstLine="720"/>
        <w:jc w:val="both"/>
        <w:rPr>
          <w:rFonts w:cs="Arial"/>
          <w:i/>
        </w:rPr>
      </w:pPr>
      <w:r w:rsidRPr="0045481B">
        <w:rPr>
          <w:rFonts w:cs="Arial"/>
          <w:i/>
        </w:rPr>
        <w:t>Oxford Local Plan 2001-2016 (adopted 11th November 2005)</w:t>
      </w:r>
    </w:p>
    <w:p w:rsidR="0045481B" w:rsidRPr="0045481B" w:rsidRDefault="0045481B" w:rsidP="004656BC">
      <w:pPr>
        <w:jc w:val="both"/>
        <w:rPr>
          <w:rFonts w:cs="Arial"/>
        </w:rPr>
      </w:pPr>
    </w:p>
    <w:p w:rsidR="0045481B" w:rsidRDefault="007E43D1" w:rsidP="004656BC">
      <w:pPr>
        <w:ind w:left="720" w:hanging="720"/>
        <w:jc w:val="both"/>
        <w:rPr>
          <w:rFonts w:cs="Arial"/>
        </w:rPr>
      </w:pPr>
      <w:r>
        <w:rPr>
          <w:rFonts w:cs="Arial"/>
        </w:rPr>
        <w:t>4.2.7</w:t>
      </w:r>
      <w:r>
        <w:rPr>
          <w:rFonts w:cs="Arial"/>
        </w:rPr>
        <w:tab/>
      </w:r>
      <w:r w:rsidR="0045481B" w:rsidRPr="0045481B">
        <w:rPr>
          <w:rFonts w:cs="Arial"/>
        </w:rPr>
        <w:t>The following policies of the Oxford Local Plan 2001-2016 are considered relevant to this appeal.</w:t>
      </w:r>
    </w:p>
    <w:p w:rsidR="00F21D63" w:rsidRPr="0045481B" w:rsidRDefault="00F21D63" w:rsidP="004656BC">
      <w:pPr>
        <w:jc w:val="both"/>
        <w:rPr>
          <w:rFonts w:cs="Arial"/>
        </w:rPr>
      </w:pPr>
    </w:p>
    <w:p w:rsidR="0016718C" w:rsidRPr="0016718C" w:rsidRDefault="0016718C" w:rsidP="004656BC">
      <w:pPr>
        <w:widowControl w:val="0"/>
        <w:numPr>
          <w:ilvl w:val="0"/>
          <w:numId w:val="13"/>
        </w:numPr>
        <w:autoSpaceDE w:val="0"/>
        <w:autoSpaceDN w:val="0"/>
        <w:jc w:val="both"/>
        <w:rPr>
          <w:rFonts w:cs="Arial"/>
          <w:b/>
          <w:bCs/>
        </w:rPr>
      </w:pPr>
      <w:r w:rsidRPr="0016718C">
        <w:rPr>
          <w:rFonts w:cs="Arial"/>
          <w:b/>
          <w:bCs/>
        </w:rPr>
        <w:t>CP1</w:t>
      </w:r>
      <w:r w:rsidRPr="0016718C">
        <w:rPr>
          <w:rFonts w:cs="Arial"/>
        </w:rPr>
        <w:t xml:space="preserve"> - Development Proposals</w:t>
      </w:r>
    </w:p>
    <w:p w:rsidR="0016718C" w:rsidRPr="0016718C" w:rsidRDefault="0016718C" w:rsidP="004656BC">
      <w:pPr>
        <w:widowControl w:val="0"/>
        <w:numPr>
          <w:ilvl w:val="0"/>
          <w:numId w:val="13"/>
        </w:numPr>
        <w:autoSpaceDE w:val="0"/>
        <w:autoSpaceDN w:val="0"/>
        <w:jc w:val="both"/>
        <w:rPr>
          <w:rFonts w:cs="Arial"/>
        </w:rPr>
      </w:pPr>
      <w:r w:rsidRPr="0016718C">
        <w:rPr>
          <w:rFonts w:cs="Arial"/>
          <w:b/>
          <w:bCs/>
        </w:rPr>
        <w:t>CP8</w:t>
      </w:r>
      <w:r w:rsidRPr="0016718C">
        <w:rPr>
          <w:rFonts w:cs="Arial"/>
        </w:rPr>
        <w:t xml:space="preserve"> - Design Development to Relate to its Context</w:t>
      </w:r>
    </w:p>
    <w:p w:rsidR="0016718C" w:rsidRPr="0016718C" w:rsidRDefault="0016718C" w:rsidP="004656BC">
      <w:pPr>
        <w:widowControl w:val="0"/>
        <w:numPr>
          <w:ilvl w:val="0"/>
          <w:numId w:val="13"/>
        </w:numPr>
        <w:autoSpaceDE w:val="0"/>
        <w:autoSpaceDN w:val="0"/>
        <w:jc w:val="both"/>
        <w:rPr>
          <w:rFonts w:cs="Arial"/>
        </w:rPr>
      </w:pPr>
      <w:r w:rsidRPr="0016718C">
        <w:rPr>
          <w:rFonts w:cs="Arial"/>
          <w:b/>
          <w:bCs/>
        </w:rPr>
        <w:t>CP9</w:t>
      </w:r>
      <w:r w:rsidRPr="0016718C">
        <w:rPr>
          <w:rFonts w:cs="Arial"/>
        </w:rPr>
        <w:t xml:space="preserve"> - Creating Successful New Places</w:t>
      </w:r>
    </w:p>
    <w:p w:rsidR="0016718C" w:rsidRPr="0016718C" w:rsidRDefault="0016718C" w:rsidP="004656BC">
      <w:pPr>
        <w:widowControl w:val="0"/>
        <w:numPr>
          <w:ilvl w:val="0"/>
          <w:numId w:val="13"/>
        </w:numPr>
        <w:autoSpaceDE w:val="0"/>
        <w:autoSpaceDN w:val="0"/>
        <w:jc w:val="both"/>
        <w:rPr>
          <w:rFonts w:cs="Arial"/>
        </w:rPr>
      </w:pPr>
      <w:r w:rsidRPr="0016718C">
        <w:rPr>
          <w:rFonts w:cs="Arial"/>
          <w:b/>
          <w:bCs/>
        </w:rPr>
        <w:t>CP10</w:t>
      </w:r>
      <w:r w:rsidRPr="0016718C">
        <w:rPr>
          <w:rFonts w:cs="Arial"/>
        </w:rPr>
        <w:t xml:space="preserve"> - Siting Development to Meet Functional Needs</w:t>
      </w:r>
    </w:p>
    <w:p w:rsidR="0016718C" w:rsidRPr="0016718C" w:rsidRDefault="0016718C" w:rsidP="004656BC">
      <w:pPr>
        <w:widowControl w:val="0"/>
        <w:numPr>
          <w:ilvl w:val="0"/>
          <w:numId w:val="13"/>
        </w:numPr>
        <w:autoSpaceDE w:val="0"/>
        <w:autoSpaceDN w:val="0"/>
        <w:jc w:val="both"/>
        <w:rPr>
          <w:rFonts w:cs="Arial"/>
        </w:rPr>
      </w:pPr>
      <w:r w:rsidRPr="0016718C">
        <w:rPr>
          <w:rFonts w:cs="Arial"/>
          <w:b/>
          <w:bCs/>
        </w:rPr>
        <w:t>CP11</w:t>
      </w:r>
      <w:r w:rsidRPr="0016718C">
        <w:rPr>
          <w:rFonts w:cs="Arial"/>
        </w:rPr>
        <w:t xml:space="preserve"> - Landscape Design</w:t>
      </w:r>
    </w:p>
    <w:p w:rsidR="0016718C" w:rsidRPr="0016718C" w:rsidRDefault="0016718C" w:rsidP="004656BC">
      <w:pPr>
        <w:widowControl w:val="0"/>
        <w:numPr>
          <w:ilvl w:val="0"/>
          <w:numId w:val="13"/>
        </w:numPr>
        <w:autoSpaceDE w:val="0"/>
        <w:autoSpaceDN w:val="0"/>
        <w:jc w:val="both"/>
        <w:rPr>
          <w:rFonts w:cs="Arial"/>
        </w:rPr>
      </w:pPr>
      <w:r w:rsidRPr="0016718C">
        <w:rPr>
          <w:rFonts w:cs="Arial"/>
          <w:b/>
          <w:bCs/>
        </w:rPr>
        <w:t>CP13</w:t>
      </w:r>
      <w:r w:rsidRPr="0016718C">
        <w:rPr>
          <w:rFonts w:cs="Arial"/>
        </w:rPr>
        <w:t xml:space="preserve"> - Accessibility</w:t>
      </w:r>
    </w:p>
    <w:p w:rsidR="0016718C" w:rsidRPr="0016718C" w:rsidRDefault="0016718C" w:rsidP="004656BC">
      <w:pPr>
        <w:widowControl w:val="0"/>
        <w:numPr>
          <w:ilvl w:val="0"/>
          <w:numId w:val="13"/>
        </w:numPr>
        <w:autoSpaceDE w:val="0"/>
        <w:autoSpaceDN w:val="0"/>
        <w:jc w:val="both"/>
        <w:rPr>
          <w:rFonts w:cs="Arial"/>
        </w:rPr>
      </w:pPr>
      <w:r w:rsidRPr="0016718C">
        <w:rPr>
          <w:rFonts w:cs="Arial"/>
          <w:b/>
          <w:bCs/>
        </w:rPr>
        <w:t>TR4</w:t>
      </w:r>
      <w:r w:rsidRPr="0016718C">
        <w:rPr>
          <w:rFonts w:cs="Arial"/>
        </w:rPr>
        <w:t xml:space="preserve"> - Pedestrian &amp; Cycle Facilities</w:t>
      </w:r>
    </w:p>
    <w:p w:rsidR="0016718C" w:rsidRPr="0016718C" w:rsidRDefault="0016718C" w:rsidP="004656BC">
      <w:pPr>
        <w:widowControl w:val="0"/>
        <w:numPr>
          <w:ilvl w:val="0"/>
          <w:numId w:val="13"/>
        </w:numPr>
        <w:autoSpaceDE w:val="0"/>
        <w:autoSpaceDN w:val="0"/>
        <w:jc w:val="both"/>
        <w:rPr>
          <w:rFonts w:cs="Arial"/>
        </w:rPr>
      </w:pPr>
      <w:r w:rsidRPr="0016718C">
        <w:rPr>
          <w:rFonts w:cs="Arial"/>
          <w:b/>
          <w:bCs/>
        </w:rPr>
        <w:t>NE15</w:t>
      </w:r>
      <w:r w:rsidRPr="0016718C">
        <w:rPr>
          <w:rFonts w:cs="Arial"/>
        </w:rPr>
        <w:t xml:space="preserve"> - Loss of Trees and Hedgerows</w:t>
      </w:r>
    </w:p>
    <w:p w:rsidR="0016718C" w:rsidRPr="0016718C" w:rsidRDefault="0016718C" w:rsidP="004656BC">
      <w:pPr>
        <w:widowControl w:val="0"/>
        <w:numPr>
          <w:ilvl w:val="0"/>
          <w:numId w:val="13"/>
        </w:numPr>
        <w:autoSpaceDE w:val="0"/>
        <w:autoSpaceDN w:val="0"/>
        <w:jc w:val="both"/>
        <w:rPr>
          <w:rFonts w:cs="Arial"/>
        </w:rPr>
      </w:pPr>
      <w:r w:rsidRPr="0016718C">
        <w:rPr>
          <w:rFonts w:cs="Arial"/>
          <w:b/>
          <w:bCs/>
        </w:rPr>
        <w:t>NE20</w:t>
      </w:r>
      <w:r w:rsidRPr="0016718C">
        <w:rPr>
          <w:rFonts w:cs="Arial"/>
        </w:rPr>
        <w:t xml:space="preserve"> - Wildlife Corridors</w:t>
      </w:r>
    </w:p>
    <w:p w:rsidR="0016718C" w:rsidRPr="0016718C" w:rsidRDefault="0016718C" w:rsidP="004656BC">
      <w:pPr>
        <w:widowControl w:val="0"/>
        <w:numPr>
          <w:ilvl w:val="0"/>
          <w:numId w:val="13"/>
        </w:numPr>
        <w:autoSpaceDE w:val="0"/>
        <w:autoSpaceDN w:val="0"/>
        <w:jc w:val="both"/>
        <w:rPr>
          <w:rFonts w:cs="Arial"/>
        </w:rPr>
      </w:pPr>
      <w:r w:rsidRPr="0016718C">
        <w:rPr>
          <w:rFonts w:cs="Arial"/>
          <w:b/>
          <w:bCs/>
        </w:rPr>
        <w:t>SR9</w:t>
      </w:r>
      <w:r w:rsidRPr="0016718C">
        <w:rPr>
          <w:rFonts w:cs="Arial"/>
        </w:rPr>
        <w:t xml:space="preserve"> - Footpaths &amp; Bridleways</w:t>
      </w:r>
    </w:p>
    <w:p w:rsidR="0016718C" w:rsidRPr="0016718C" w:rsidRDefault="0016718C" w:rsidP="004656BC">
      <w:pPr>
        <w:jc w:val="both"/>
        <w:rPr>
          <w:rFonts w:cs="Arial"/>
          <w:bCs/>
        </w:rPr>
      </w:pPr>
    </w:p>
    <w:p w:rsidR="0045481B" w:rsidRPr="0045481B" w:rsidRDefault="007E43D1" w:rsidP="004656BC">
      <w:pPr>
        <w:ind w:left="720" w:hanging="720"/>
        <w:jc w:val="both"/>
        <w:rPr>
          <w:rFonts w:cs="Arial"/>
        </w:rPr>
      </w:pPr>
      <w:r>
        <w:rPr>
          <w:rFonts w:cs="Arial"/>
        </w:rPr>
        <w:t>4.2.8</w:t>
      </w:r>
      <w:r>
        <w:rPr>
          <w:rFonts w:cs="Arial"/>
        </w:rPr>
        <w:tab/>
      </w:r>
      <w:r w:rsidR="0045481B" w:rsidRPr="0045481B">
        <w:rPr>
          <w:rFonts w:cs="Arial"/>
        </w:rPr>
        <w:t>These policies were saved in accordance with the Planning and Compulsory Purchase Act 2004 on the 4th June 2008.  Copies of all the policies and their supporting text were sent with the appeal questionnaire.</w:t>
      </w:r>
    </w:p>
    <w:p w:rsidR="0045481B" w:rsidRPr="0045481B" w:rsidRDefault="0045481B" w:rsidP="004656BC">
      <w:pPr>
        <w:jc w:val="both"/>
        <w:rPr>
          <w:rFonts w:cs="Arial"/>
        </w:rPr>
      </w:pPr>
    </w:p>
    <w:p w:rsidR="0045481B" w:rsidRPr="0045481B" w:rsidRDefault="0045481B" w:rsidP="004656BC">
      <w:pPr>
        <w:ind w:firstLine="360"/>
        <w:jc w:val="both"/>
        <w:rPr>
          <w:rFonts w:cs="Arial"/>
          <w:i/>
        </w:rPr>
      </w:pPr>
      <w:r w:rsidRPr="0045481B">
        <w:rPr>
          <w:rFonts w:cs="Arial"/>
          <w:i/>
        </w:rPr>
        <w:t>Sites and Housing Plan</w:t>
      </w:r>
      <w:r>
        <w:rPr>
          <w:rFonts w:cs="Arial"/>
          <w:i/>
        </w:rPr>
        <w:t xml:space="preserve"> 2011-2026 (adopted February 2013)</w:t>
      </w:r>
    </w:p>
    <w:p w:rsidR="0045481B" w:rsidRPr="0045481B" w:rsidRDefault="0045481B" w:rsidP="004656BC">
      <w:pPr>
        <w:jc w:val="both"/>
        <w:rPr>
          <w:rFonts w:cs="Arial"/>
        </w:rPr>
      </w:pPr>
    </w:p>
    <w:p w:rsidR="0045481B" w:rsidRPr="0045481B" w:rsidRDefault="007E43D1" w:rsidP="004656BC">
      <w:pPr>
        <w:ind w:left="720" w:hanging="720"/>
        <w:jc w:val="both"/>
        <w:rPr>
          <w:rFonts w:cs="Arial"/>
        </w:rPr>
      </w:pPr>
      <w:r>
        <w:rPr>
          <w:rFonts w:cs="Arial"/>
        </w:rPr>
        <w:t>4.2.9</w:t>
      </w:r>
      <w:r>
        <w:rPr>
          <w:rFonts w:cs="Arial"/>
        </w:rPr>
        <w:tab/>
      </w:r>
      <w:r w:rsidR="0045481B" w:rsidRPr="0045481B">
        <w:rPr>
          <w:rFonts w:cs="Arial"/>
        </w:rPr>
        <w:t>The Sites and Housing Plan was adopted on the 18th February 2013 follo</w:t>
      </w:r>
      <w:r w:rsidR="00677548">
        <w:rPr>
          <w:rFonts w:cs="Arial"/>
        </w:rPr>
        <w:t>wing an examination in public</w:t>
      </w:r>
      <w:r w:rsidR="0045481B" w:rsidRPr="0045481B">
        <w:rPr>
          <w:rFonts w:cs="Arial"/>
        </w:rPr>
        <w:t xml:space="preserve">.  The policies within this document have now superseded a number of the saved policies of </w:t>
      </w:r>
      <w:r w:rsidR="00B376D1">
        <w:rPr>
          <w:rFonts w:cs="Arial"/>
        </w:rPr>
        <w:t xml:space="preserve">the Oxford Local Plan 2001-2016.  </w:t>
      </w:r>
      <w:r w:rsidR="00220880">
        <w:rPr>
          <w:rFonts w:cs="Arial"/>
        </w:rPr>
        <w:t>However there are no policies contained within the Sites and Housing Plan 2011-2026 that are relevant to this appeal.</w:t>
      </w:r>
    </w:p>
    <w:p w:rsidR="0045481B" w:rsidRDefault="0045481B" w:rsidP="004656BC">
      <w:pPr>
        <w:jc w:val="both"/>
        <w:rPr>
          <w:rFonts w:cs="Arial"/>
        </w:rPr>
      </w:pPr>
    </w:p>
    <w:p w:rsidR="004656BC" w:rsidRDefault="004656BC" w:rsidP="004656BC">
      <w:pPr>
        <w:jc w:val="both"/>
        <w:rPr>
          <w:rFonts w:cs="Arial"/>
        </w:rPr>
      </w:pPr>
    </w:p>
    <w:p w:rsidR="004656BC" w:rsidRDefault="004656BC" w:rsidP="004656BC">
      <w:pPr>
        <w:ind w:left="720" w:hanging="720"/>
        <w:jc w:val="both"/>
        <w:rPr>
          <w:rFonts w:cs="Arial"/>
        </w:rPr>
      </w:pPr>
      <w:r>
        <w:rPr>
          <w:rFonts w:cs="Arial"/>
        </w:rPr>
        <w:t>4.3</w:t>
      </w:r>
      <w:r>
        <w:rPr>
          <w:rFonts w:cs="Arial"/>
        </w:rPr>
        <w:tab/>
      </w:r>
      <w:r w:rsidRPr="004656BC">
        <w:rPr>
          <w:u w:val="single"/>
        </w:rPr>
        <w:t>Part 11 of Schedule 2 of the</w:t>
      </w:r>
      <w:r w:rsidRPr="000D0C8A">
        <w:rPr>
          <w:u w:val="single"/>
        </w:rPr>
        <w:t xml:space="preserve"> </w:t>
      </w:r>
      <w:r w:rsidRPr="004656BC">
        <w:rPr>
          <w:u w:val="single"/>
        </w:rPr>
        <w:t>Town and Country Planning (General Permitted Development) Order 1995.</w:t>
      </w:r>
    </w:p>
    <w:p w:rsidR="004656BC" w:rsidRDefault="004656BC" w:rsidP="004656BC">
      <w:pPr>
        <w:jc w:val="both"/>
      </w:pPr>
    </w:p>
    <w:p w:rsidR="004656BC" w:rsidRDefault="004656BC" w:rsidP="004656BC">
      <w:pPr>
        <w:ind w:left="720" w:hanging="720"/>
        <w:jc w:val="both"/>
        <w:rPr>
          <w:b/>
        </w:rPr>
      </w:pPr>
      <w:r>
        <w:t>4.3.1</w:t>
      </w:r>
      <w:r>
        <w:tab/>
        <w:t xml:space="preserve">Part 11 of the 1995 Order relates to works which are permitted by private Act of Parliament and which take them outside of normal planning control.  In this case the relevant Act of Parliament which confers such powers is the Oxford and Rugby Railways Act 1845.  Under the terms of Part 11 of the 1995 Order </w:t>
      </w:r>
      <w:r w:rsidRPr="001E7077">
        <w:t xml:space="preserve">if </w:t>
      </w:r>
      <w:r>
        <w:t xml:space="preserve">the </w:t>
      </w:r>
      <w:r w:rsidRPr="001E7077">
        <w:t xml:space="preserve">development </w:t>
      </w:r>
      <w:r>
        <w:t xml:space="preserve">in question </w:t>
      </w:r>
      <w:r w:rsidRPr="001E7077">
        <w:t xml:space="preserve">is authorised by Parliament, the principle of it cannot be challenged by local planning authorities. </w:t>
      </w:r>
      <w:r>
        <w:t xml:space="preserve"> Rather local planning authorities can only object to the proposals and withhold “prior approval” on the grounds that the design and external appearance would i</w:t>
      </w:r>
      <w:r w:rsidRPr="001E7077">
        <w:t>nju</w:t>
      </w:r>
      <w:r>
        <w:t>re the</w:t>
      </w:r>
      <w:r w:rsidRPr="001E7077">
        <w:t xml:space="preserve"> amenity </w:t>
      </w:r>
      <w:r>
        <w:t xml:space="preserve">of the neighbourhood, </w:t>
      </w:r>
      <w:r w:rsidRPr="001E7077">
        <w:t xml:space="preserve">or </w:t>
      </w:r>
      <w:r>
        <w:t xml:space="preserve">that a </w:t>
      </w:r>
      <w:r w:rsidRPr="001E7077">
        <w:t>better sit</w:t>
      </w:r>
      <w:r>
        <w:t xml:space="preserve">e is available.  </w:t>
      </w:r>
      <w:r w:rsidR="001564DD">
        <w:t xml:space="preserve">An extract from the Order is attached as </w:t>
      </w:r>
      <w:r w:rsidR="001564DD" w:rsidRPr="006E7707">
        <w:rPr>
          <w:b/>
        </w:rPr>
        <w:t xml:space="preserve">Appendix </w:t>
      </w:r>
      <w:r w:rsidR="006B61D5">
        <w:rPr>
          <w:b/>
        </w:rPr>
        <w:t>C</w:t>
      </w:r>
      <w:r w:rsidR="001564DD">
        <w:rPr>
          <w:b/>
        </w:rPr>
        <w:t>.</w:t>
      </w:r>
    </w:p>
    <w:p w:rsidR="001564DD" w:rsidRDefault="001564DD" w:rsidP="001564DD">
      <w:pPr>
        <w:jc w:val="both"/>
      </w:pPr>
    </w:p>
    <w:p w:rsidR="00F22CD0" w:rsidRDefault="00F22CD0" w:rsidP="001564DD">
      <w:pPr>
        <w:jc w:val="both"/>
      </w:pPr>
    </w:p>
    <w:p w:rsidR="00F22CD0" w:rsidRPr="001564DD" w:rsidRDefault="00F22CD0" w:rsidP="001564DD">
      <w:pPr>
        <w:jc w:val="both"/>
      </w:pPr>
    </w:p>
    <w:p w:rsidR="0045481B" w:rsidRPr="0045481B" w:rsidRDefault="0045481B" w:rsidP="004656BC">
      <w:pPr>
        <w:jc w:val="both"/>
        <w:rPr>
          <w:rFonts w:cs="Arial"/>
          <w:b/>
        </w:rPr>
      </w:pPr>
      <w:r>
        <w:rPr>
          <w:rFonts w:cs="Arial"/>
          <w:b/>
        </w:rPr>
        <w:lastRenderedPageBreak/>
        <w:t>5.</w:t>
      </w:r>
      <w:r>
        <w:rPr>
          <w:rFonts w:cs="Arial"/>
          <w:b/>
        </w:rPr>
        <w:tab/>
      </w:r>
      <w:r w:rsidRPr="0045481B">
        <w:rPr>
          <w:rFonts w:cs="Arial"/>
          <w:b/>
        </w:rPr>
        <w:t>Amplification of Reason for Refusal</w:t>
      </w:r>
    </w:p>
    <w:p w:rsidR="00966ADC" w:rsidRDefault="00966ADC" w:rsidP="004656BC">
      <w:pPr>
        <w:jc w:val="both"/>
        <w:rPr>
          <w:rFonts w:cs="Arial"/>
        </w:rPr>
      </w:pPr>
    </w:p>
    <w:p w:rsidR="0045481B" w:rsidRDefault="00966ADC" w:rsidP="004656BC">
      <w:pPr>
        <w:ind w:left="720" w:hanging="720"/>
        <w:jc w:val="both"/>
        <w:rPr>
          <w:rFonts w:cs="Arial"/>
        </w:rPr>
      </w:pPr>
      <w:r>
        <w:rPr>
          <w:rFonts w:cs="Arial"/>
        </w:rPr>
        <w:t>5.1</w:t>
      </w:r>
      <w:r>
        <w:rPr>
          <w:rFonts w:cs="Arial"/>
        </w:rPr>
        <w:tab/>
        <w:t xml:space="preserve">The proposal was refused for </w:t>
      </w:r>
      <w:r w:rsidR="00220880">
        <w:rPr>
          <w:rFonts w:cs="Arial"/>
        </w:rPr>
        <w:t xml:space="preserve">the following reason:  </w:t>
      </w:r>
    </w:p>
    <w:p w:rsidR="00220880" w:rsidRDefault="00220880" w:rsidP="004656BC">
      <w:pPr>
        <w:pStyle w:val="Default"/>
        <w:jc w:val="both"/>
      </w:pPr>
    </w:p>
    <w:p w:rsidR="00CF725D" w:rsidRPr="00220880" w:rsidRDefault="00220880" w:rsidP="004656BC">
      <w:pPr>
        <w:numPr>
          <w:ilvl w:val="0"/>
          <w:numId w:val="15"/>
        </w:numPr>
        <w:jc w:val="both"/>
        <w:rPr>
          <w:rFonts w:cs="Arial"/>
          <w:i/>
        </w:rPr>
      </w:pPr>
      <w:r w:rsidRPr="00220880">
        <w:rPr>
          <w:i/>
          <w:sz w:val="22"/>
          <w:szCs w:val="22"/>
        </w:rPr>
        <w:t>The design of the proposed development would injure the amenity of the neighbourhood and of residents wishing to utilise the footbridge by failing to provide fair and equal access for people with disabilities, contrary to policy CP.13 of the adopted Oxford Local Plan 2001 to 2016.</w:t>
      </w:r>
    </w:p>
    <w:p w:rsidR="00CF725D" w:rsidRDefault="00CF725D" w:rsidP="004656BC">
      <w:pPr>
        <w:jc w:val="both"/>
        <w:rPr>
          <w:rFonts w:cs="Arial"/>
        </w:rPr>
      </w:pPr>
    </w:p>
    <w:p w:rsidR="00CF725D" w:rsidRPr="00CF725D" w:rsidRDefault="004656BC" w:rsidP="004656BC">
      <w:pPr>
        <w:ind w:left="720" w:hanging="720"/>
        <w:jc w:val="both"/>
        <w:rPr>
          <w:rFonts w:cs="Arial"/>
        </w:rPr>
      </w:pPr>
      <w:r>
        <w:rPr>
          <w:rFonts w:cs="Arial"/>
        </w:rPr>
        <w:t>5.2</w:t>
      </w:r>
      <w:r>
        <w:rPr>
          <w:rFonts w:cs="Arial"/>
        </w:rPr>
        <w:tab/>
      </w:r>
      <w:r w:rsidR="00CF725D" w:rsidRPr="00CF725D">
        <w:rPr>
          <w:rFonts w:cs="Arial"/>
        </w:rPr>
        <w:t xml:space="preserve">The Council was clear that the </w:t>
      </w:r>
      <w:r w:rsidR="00410CC3">
        <w:rPr>
          <w:rFonts w:cs="Arial"/>
        </w:rPr>
        <w:t xml:space="preserve">scope of what should be considered to include the </w:t>
      </w:r>
      <w:r w:rsidR="00CF725D" w:rsidRPr="00CF725D">
        <w:rPr>
          <w:rFonts w:cs="Arial"/>
        </w:rPr>
        <w:t>amenities of the neighbourhood</w:t>
      </w:r>
      <w:r w:rsidR="00410CC3">
        <w:rPr>
          <w:rFonts w:cs="Arial"/>
        </w:rPr>
        <w:t>s on either side of the proposed development</w:t>
      </w:r>
      <w:r w:rsidR="00CF725D" w:rsidRPr="00CF725D">
        <w:rPr>
          <w:rFonts w:cs="Arial"/>
        </w:rPr>
        <w:t xml:space="preserve"> clearly encompasses the ability of the public (including those with disabilities) to make use of th</w:t>
      </w:r>
      <w:r w:rsidR="00410CC3">
        <w:rPr>
          <w:rFonts w:cs="Arial"/>
        </w:rPr>
        <w:t>ose</w:t>
      </w:r>
      <w:r w:rsidR="00CF725D" w:rsidRPr="00CF725D">
        <w:rPr>
          <w:rFonts w:cs="Arial"/>
        </w:rPr>
        <w:t xml:space="preserve"> neighbourhood</w:t>
      </w:r>
      <w:r w:rsidR="00410CC3">
        <w:rPr>
          <w:rFonts w:cs="Arial"/>
        </w:rPr>
        <w:t>s and any current or future routes between them,</w:t>
      </w:r>
      <w:r w:rsidR="00CF725D" w:rsidRPr="00CF725D">
        <w:rPr>
          <w:rFonts w:cs="Arial"/>
        </w:rPr>
        <w:t xml:space="preserve"> and that </w:t>
      </w:r>
      <w:r w:rsidR="00410CC3">
        <w:rPr>
          <w:rFonts w:cs="Arial"/>
        </w:rPr>
        <w:t xml:space="preserve">granting prior approval for any development which </w:t>
      </w:r>
      <w:r w:rsidR="00CF725D" w:rsidRPr="00CF725D">
        <w:rPr>
          <w:rFonts w:cs="Arial"/>
        </w:rPr>
        <w:t>fail</w:t>
      </w:r>
      <w:r w:rsidR="00410CC3">
        <w:rPr>
          <w:rFonts w:cs="Arial"/>
        </w:rPr>
        <w:t>ed</w:t>
      </w:r>
      <w:r w:rsidR="00CF725D" w:rsidRPr="00CF725D">
        <w:rPr>
          <w:rFonts w:cs="Arial"/>
        </w:rPr>
        <w:t xml:space="preserve"> to provide the required access for those with </w:t>
      </w:r>
      <w:r w:rsidR="00410CC3">
        <w:rPr>
          <w:rFonts w:cs="Arial"/>
        </w:rPr>
        <w:t xml:space="preserve">ambulant </w:t>
      </w:r>
      <w:r w:rsidR="00CF725D" w:rsidRPr="00CF725D">
        <w:rPr>
          <w:rFonts w:cs="Arial"/>
        </w:rPr>
        <w:t xml:space="preserve">disabilities would damage that amenity.  Whilst the Council </w:t>
      </w:r>
      <w:r w:rsidR="00410CC3">
        <w:rPr>
          <w:rFonts w:cs="Arial"/>
        </w:rPr>
        <w:t xml:space="preserve">carefully </w:t>
      </w:r>
      <w:r w:rsidR="00CF725D" w:rsidRPr="00CF725D">
        <w:rPr>
          <w:rFonts w:cs="Arial"/>
        </w:rPr>
        <w:t>noted and had regard to</w:t>
      </w:r>
      <w:r w:rsidR="00CF725D">
        <w:rPr>
          <w:rFonts w:cs="Arial"/>
        </w:rPr>
        <w:t xml:space="preserve"> the Spalding appeal decision</w:t>
      </w:r>
      <w:r w:rsidR="001E228D">
        <w:rPr>
          <w:rFonts w:cs="Arial"/>
        </w:rPr>
        <w:t xml:space="preserve"> (copy attached at </w:t>
      </w:r>
      <w:r w:rsidR="001E228D" w:rsidRPr="001E228D">
        <w:rPr>
          <w:rFonts w:cs="Arial"/>
          <w:b/>
        </w:rPr>
        <w:t xml:space="preserve">Appendix </w:t>
      </w:r>
      <w:r w:rsidR="006B61D5">
        <w:rPr>
          <w:rFonts w:cs="Arial"/>
          <w:b/>
        </w:rPr>
        <w:t>D</w:t>
      </w:r>
      <w:r w:rsidR="001E228D">
        <w:rPr>
          <w:rFonts w:cs="Arial"/>
        </w:rPr>
        <w:t>)</w:t>
      </w:r>
      <w:r w:rsidR="00CF725D">
        <w:rPr>
          <w:rFonts w:cs="Arial"/>
        </w:rPr>
        <w:t xml:space="preserve"> it</w:t>
      </w:r>
      <w:r w:rsidR="00CF725D" w:rsidRPr="00CF725D">
        <w:rPr>
          <w:rFonts w:cs="Arial"/>
        </w:rPr>
        <w:t xml:space="preserve"> specifically considered that decision letter and concluded that it did not support the position adopted by the Appellant.  In particular it may be noted that the decision does not support the proposition that matters such as access for the disabled are not pertinent to an appeal such as this.  At </w:t>
      </w:r>
      <w:proofErr w:type="spellStart"/>
      <w:r w:rsidR="00CF725D" w:rsidRPr="00CF725D">
        <w:rPr>
          <w:rFonts w:cs="Arial"/>
        </w:rPr>
        <w:t>para</w:t>
      </w:r>
      <w:proofErr w:type="spellEnd"/>
      <w:r w:rsidR="00CF725D" w:rsidRPr="00CF725D">
        <w:rPr>
          <w:rFonts w:cs="Arial"/>
        </w:rPr>
        <w:t xml:space="preserve"> 4 the Inspector noted the argument that the Order should bear a wide interpretation.  He proceeded to decide, on the merits of that particular set of circumstances, that even the widest interpretation did not result in dismissal of that appeal.  He did not decide that the Order did not bear the wide interpretation contended for.  Indeed, had </w:t>
      </w:r>
      <w:r w:rsidR="00410CC3">
        <w:rPr>
          <w:rFonts w:cs="Arial"/>
        </w:rPr>
        <w:t>he</w:t>
      </w:r>
      <w:r w:rsidR="00410CC3" w:rsidRPr="00CF725D">
        <w:rPr>
          <w:rFonts w:cs="Arial"/>
        </w:rPr>
        <w:t xml:space="preserve"> </w:t>
      </w:r>
      <w:r w:rsidR="00CF725D" w:rsidRPr="00CF725D">
        <w:rPr>
          <w:rFonts w:cs="Arial"/>
        </w:rPr>
        <w:t>decided that the Order bore a more restricted meaning he would not have considered the impact of the development against that wide interpretation.  It must therefore follow that, far from supporting the Appellant’s position, the Spalding decision supports the L</w:t>
      </w:r>
      <w:r w:rsidR="00090323">
        <w:rPr>
          <w:rFonts w:cs="Arial"/>
        </w:rPr>
        <w:t xml:space="preserve">ocal </w:t>
      </w:r>
      <w:r w:rsidR="00CF725D" w:rsidRPr="00CF725D">
        <w:rPr>
          <w:rFonts w:cs="Arial"/>
        </w:rPr>
        <w:t>P</w:t>
      </w:r>
      <w:r w:rsidR="00090323">
        <w:rPr>
          <w:rFonts w:cs="Arial"/>
        </w:rPr>
        <w:t xml:space="preserve">lanning </w:t>
      </w:r>
      <w:r w:rsidR="00CF725D" w:rsidRPr="00CF725D">
        <w:rPr>
          <w:rFonts w:cs="Arial"/>
        </w:rPr>
        <w:t>A</w:t>
      </w:r>
      <w:r w:rsidR="00090323">
        <w:rPr>
          <w:rFonts w:cs="Arial"/>
        </w:rPr>
        <w:t>uthority (LPA)</w:t>
      </w:r>
      <w:r w:rsidR="00CF725D" w:rsidRPr="00CF725D">
        <w:rPr>
          <w:rFonts w:cs="Arial"/>
        </w:rPr>
        <w:t>.  It establishes that access for the disabled is a matter that must be considered in the context of such a prior approval application/appeal.</w:t>
      </w:r>
    </w:p>
    <w:p w:rsidR="00CF725D" w:rsidRPr="00CF725D" w:rsidRDefault="00CF725D" w:rsidP="004656BC">
      <w:pPr>
        <w:jc w:val="both"/>
        <w:rPr>
          <w:rFonts w:cs="Arial"/>
        </w:rPr>
      </w:pPr>
    </w:p>
    <w:p w:rsidR="00CF725D" w:rsidRPr="00CF725D" w:rsidRDefault="004656BC" w:rsidP="004656BC">
      <w:pPr>
        <w:ind w:left="720" w:hanging="720"/>
        <w:jc w:val="both"/>
        <w:rPr>
          <w:rFonts w:cs="Arial"/>
        </w:rPr>
      </w:pPr>
      <w:r>
        <w:rPr>
          <w:rFonts w:cs="Arial"/>
        </w:rPr>
        <w:t>5.3</w:t>
      </w:r>
      <w:r>
        <w:rPr>
          <w:rFonts w:cs="Arial"/>
        </w:rPr>
        <w:tab/>
      </w:r>
      <w:r w:rsidR="00CF725D" w:rsidRPr="00CF725D">
        <w:rPr>
          <w:rFonts w:cs="Arial"/>
        </w:rPr>
        <w:t xml:space="preserve">The Council would also draw attention to section 149 of the Equality Act 2010 which postdates much of the material that the Appellant relies upon and, regrettably, much of the Appellant’s apparent thought processes.  The Technical Guidance issued by the Equality and Human Rights Commission is issued under s13 of the 2006 Equality Act.  The Courts have held that compliance with that guidance is relevant in demonstrating compliance with the s149 duty and that a body subject to that duty will need to justify its departure from that guidance ([2008]EWHC2062 (Admin) </w:t>
      </w:r>
      <w:proofErr w:type="spellStart"/>
      <w:r w:rsidR="00CF725D" w:rsidRPr="00CF725D">
        <w:rPr>
          <w:rFonts w:cs="Arial"/>
        </w:rPr>
        <w:t>para</w:t>
      </w:r>
      <w:proofErr w:type="spellEnd"/>
      <w:r w:rsidR="00CF725D" w:rsidRPr="00CF725D">
        <w:rPr>
          <w:rFonts w:cs="Arial"/>
        </w:rPr>
        <w:t xml:space="preserve"> 22 per Moses LJ.  As </w:t>
      </w:r>
      <w:proofErr w:type="spellStart"/>
      <w:r w:rsidR="00CF725D" w:rsidRPr="00CF725D">
        <w:rPr>
          <w:rFonts w:cs="Arial"/>
        </w:rPr>
        <w:t>para</w:t>
      </w:r>
      <w:proofErr w:type="spellEnd"/>
      <w:r w:rsidR="00CF725D" w:rsidRPr="00CF725D">
        <w:rPr>
          <w:rFonts w:cs="Arial"/>
        </w:rPr>
        <w:t xml:space="preserve"> 1.6 of that guidance makes clear the s149 duty applies to all public authorities and those discharging public functions subject to exceptions.  It seem</w:t>
      </w:r>
      <w:r w:rsidR="00A72AA9">
        <w:rPr>
          <w:rFonts w:cs="Arial"/>
        </w:rPr>
        <w:t>ed</w:t>
      </w:r>
      <w:r w:rsidR="00CF725D" w:rsidRPr="00CF725D">
        <w:rPr>
          <w:rFonts w:cs="Arial"/>
        </w:rPr>
        <w:t xml:space="preserve"> clear </w:t>
      </w:r>
      <w:r w:rsidR="00A72AA9">
        <w:rPr>
          <w:rFonts w:cs="Arial"/>
        </w:rPr>
        <w:t xml:space="preserve">to the Council </w:t>
      </w:r>
      <w:r w:rsidR="00CF725D" w:rsidRPr="00CF725D">
        <w:rPr>
          <w:rFonts w:cs="Arial"/>
        </w:rPr>
        <w:t>that this applie</w:t>
      </w:r>
      <w:r w:rsidR="00A72AA9">
        <w:rPr>
          <w:rFonts w:cs="Arial"/>
        </w:rPr>
        <w:t>d</w:t>
      </w:r>
      <w:r w:rsidR="00CF725D" w:rsidRPr="00CF725D">
        <w:rPr>
          <w:rFonts w:cs="Arial"/>
        </w:rPr>
        <w:t xml:space="preserve"> both to the </w:t>
      </w:r>
      <w:r w:rsidR="00A72AA9">
        <w:rPr>
          <w:rFonts w:cs="Arial"/>
        </w:rPr>
        <w:t>Council itself</w:t>
      </w:r>
      <w:r w:rsidR="00A72AA9" w:rsidRPr="00CF725D">
        <w:rPr>
          <w:rFonts w:cs="Arial"/>
        </w:rPr>
        <w:t xml:space="preserve"> </w:t>
      </w:r>
      <w:r w:rsidR="00CF725D" w:rsidRPr="00CF725D">
        <w:rPr>
          <w:rFonts w:cs="Arial"/>
        </w:rPr>
        <w:t xml:space="preserve">and </w:t>
      </w:r>
      <w:r w:rsidR="00A72AA9">
        <w:rPr>
          <w:rFonts w:cs="Arial"/>
        </w:rPr>
        <w:t xml:space="preserve">to </w:t>
      </w:r>
      <w:r w:rsidR="00CF725D" w:rsidRPr="00CF725D">
        <w:rPr>
          <w:rFonts w:cs="Arial"/>
        </w:rPr>
        <w:t xml:space="preserve">the </w:t>
      </w:r>
      <w:r w:rsidR="00A72AA9">
        <w:rPr>
          <w:rFonts w:cs="Arial"/>
        </w:rPr>
        <w:t>Secretary of State</w:t>
      </w:r>
      <w:r w:rsidR="00A72AA9" w:rsidRPr="00CF725D">
        <w:rPr>
          <w:rFonts w:cs="Arial"/>
        </w:rPr>
        <w:t xml:space="preserve"> </w:t>
      </w:r>
      <w:r w:rsidR="00CF725D" w:rsidRPr="00CF725D">
        <w:rPr>
          <w:rFonts w:cs="Arial"/>
        </w:rPr>
        <w:t xml:space="preserve">(and anyone exercising the functions of the </w:t>
      </w:r>
      <w:r w:rsidR="00A72AA9">
        <w:rPr>
          <w:rFonts w:cs="Arial"/>
        </w:rPr>
        <w:t>Secretary of State</w:t>
      </w:r>
      <w:r w:rsidR="00CF725D" w:rsidRPr="00CF725D">
        <w:rPr>
          <w:rFonts w:cs="Arial"/>
        </w:rPr>
        <w:t>) as regards Part III T&amp;CPA 90 functions.</w:t>
      </w:r>
    </w:p>
    <w:p w:rsidR="00CF725D" w:rsidRPr="00CF725D" w:rsidRDefault="00CF725D" w:rsidP="004656BC">
      <w:pPr>
        <w:jc w:val="both"/>
        <w:rPr>
          <w:rFonts w:cs="Arial"/>
        </w:rPr>
      </w:pPr>
    </w:p>
    <w:p w:rsidR="00CF725D" w:rsidRDefault="004656BC" w:rsidP="004656BC">
      <w:pPr>
        <w:jc w:val="both"/>
        <w:rPr>
          <w:rFonts w:cs="Arial"/>
        </w:rPr>
      </w:pPr>
      <w:r>
        <w:rPr>
          <w:rFonts w:cs="Arial"/>
        </w:rPr>
        <w:t>5.4</w:t>
      </w:r>
      <w:r>
        <w:rPr>
          <w:rFonts w:cs="Arial"/>
        </w:rPr>
        <w:tab/>
      </w:r>
      <w:r w:rsidR="00CF725D" w:rsidRPr="00CF725D">
        <w:rPr>
          <w:rFonts w:cs="Arial"/>
        </w:rPr>
        <w:t>The core of the s149 duty is the need to have due regard to the need to</w:t>
      </w:r>
      <w:r w:rsidR="00A72AA9">
        <w:rPr>
          <w:rFonts w:cs="Arial"/>
        </w:rPr>
        <w:t>:</w:t>
      </w:r>
      <w:r w:rsidR="00CF725D" w:rsidRPr="00CF725D">
        <w:rPr>
          <w:rFonts w:cs="Arial"/>
        </w:rPr>
        <w:t xml:space="preserve"> </w:t>
      </w:r>
    </w:p>
    <w:p w:rsidR="004656BC" w:rsidRPr="00CF725D" w:rsidRDefault="004656BC" w:rsidP="004656BC">
      <w:pPr>
        <w:jc w:val="both"/>
        <w:rPr>
          <w:rFonts w:cs="Arial"/>
        </w:rPr>
      </w:pPr>
    </w:p>
    <w:p w:rsidR="00CF725D" w:rsidRPr="00CF725D" w:rsidRDefault="004656BC" w:rsidP="004656BC">
      <w:pPr>
        <w:ind w:left="1440" w:hanging="720"/>
        <w:jc w:val="both"/>
        <w:rPr>
          <w:rFonts w:cs="Arial"/>
        </w:rPr>
      </w:pPr>
      <w:r>
        <w:rPr>
          <w:rFonts w:cs="Arial"/>
        </w:rPr>
        <w:t>(a)</w:t>
      </w:r>
      <w:r>
        <w:rPr>
          <w:rFonts w:cs="Arial"/>
        </w:rPr>
        <w:tab/>
      </w:r>
      <w:r w:rsidRPr="00CF725D">
        <w:rPr>
          <w:rFonts w:cs="Arial"/>
        </w:rPr>
        <w:t>Eliminate</w:t>
      </w:r>
      <w:r w:rsidR="00CF725D" w:rsidRPr="00CF725D">
        <w:rPr>
          <w:rFonts w:cs="Arial"/>
        </w:rPr>
        <w:t xml:space="preserve"> discrimination, harassment, victimisation and any other conduct that is prohibited by or under the 2010 Act</w:t>
      </w:r>
      <w:r w:rsidR="00A72AA9">
        <w:rPr>
          <w:rFonts w:cs="Arial"/>
        </w:rPr>
        <w:t>;</w:t>
      </w:r>
    </w:p>
    <w:p w:rsidR="00CF725D" w:rsidRPr="00CF725D" w:rsidRDefault="004656BC" w:rsidP="004656BC">
      <w:pPr>
        <w:ind w:left="1440" w:hanging="720"/>
        <w:jc w:val="both"/>
        <w:rPr>
          <w:rFonts w:cs="Arial"/>
        </w:rPr>
      </w:pPr>
      <w:r>
        <w:rPr>
          <w:rFonts w:cs="Arial"/>
        </w:rPr>
        <w:lastRenderedPageBreak/>
        <w:t>(b)</w:t>
      </w:r>
      <w:r>
        <w:rPr>
          <w:rFonts w:cs="Arial"/>
        </w:rPr>
        <w:tab/>
      </w:r>
      <w:r w:rsidRPr="00CF725D">
        <w:rPr>
          <w:rFonts w:cs="Arial"/>
        </w:rPr>
        <w:t>Advance</w:t>
      </w:r>
      <w:r w:rsidR="00CF725D" w:rsidRPr="00CF725D">
        <w:rPr>
          <w:rFonts w:cs="Arial"/>
        </w:rPr>
        <w:t xml:space="preserve"> equality of opportunity between persons who share a relevant protected characteristic (which includes disability) and persons who do not share it</w:t>
      </w:r>
      <w:r w:rsidR="00A72AA9">
        <w:rPr>
          <w:rFonts w:cs="Arial"/>
        </w:rPr>
        <w:t>;</w:t>
      </w:r>
    </w:p>
    <w:p w:rsidR="00CF725D" w:rsidRPr="00CF725D" w:rsidRDefault="004656BC" w:rsidP="004656BC">
      <w:pPr>
        <w:ind w:left="1440" w:hanging="720"/>
        <w:jc w:val="both"/>
        <w:rPr>
          <w:rFonts w:cs="Arial"/>
        </w:rPr>
      </w:pPr>
      <w:r>
        <w:rPr>
          <w:rFonts w:cs="Arial"/>
        </w:rPr>
        <w:t>(c)</w:t>
      </w:r>
      <w:r>
        <w:rPr>
          <w:rFonts w:cs="Arial"/>
        </w:rPr>
        <w:tab/>
      </w:r>
      <w:r w:rsidRPr="00CF725D">
        <w:rPr>
          <w:rFonts w:cs="Arial"/>
        </w:rPr>
        <w:t>Foster</w:t>
      </w:r>
      <w:r w:rsidR="00CF725D" w:rsidRPr="00CF725D">
        <w:rPr>
          <w:rFonts w:cs="Arial"/>
        </w:rPr>
        <w:t xml:space="preserve"> good relations between persons who share a relevant protected characteristic and persons who do not share it.</w:t>
      </w:r>
    </w:p>
    <w:p w:rsidR="00CF725D" w:rsidRPr="00CF725D" w:rsidRDefault="00CF725D" w:rsidP="004656BC">
      <w:pPr>
        <w:jc w:val="both"/>
        <w:rPr>
          <w:rFonts w:cs="Arial"/>
        </w:rPr>
      </w:pPr>
    </w:p>
    <w:p w:rsidR="00CF725D" w:rsidRPr="00CF725D" w:rsidRDefault="004656BC" w:rsidP="004656BC">
      <w:pPr>
        <w:ind w:left="720" w:hanging="720"/>
        <w:jc w:val="both"/>
        <w:rPr>
          <w:rFonts w:cs="Arial"/>
        </w:rPr>
      </w:pPr>
      <w:r>
        <w:rPr>
          <w:rFonts w:cs="Arial"/>
        </w:rPr>
        <w:t>5.5</w:t>
      </w:r>
      <w:r>
        <w:rPr>
          <w:rFonts w:cs="Arial"/>
        </w:rPr>
        <w:tab/>
      </w:r>
      <w:r w:rsidR="00CF725D" w:rsidRPr="00CF725D">
        <w:rPr>
          <w:rFonts w:cs="Arial"/>
        </w:rPr>
        <w:t>In order to comply with that statutory duty in accord with the Technical Guidance the LPA is strongly of the view that this appeal should be dismissed.  The Appeal proposal necessitates an ab</w:t>
      </w:r>
      <w:r>
        <w:rPr>
          <w:rFonts w:cs="Arial"/>
        </w:rPr>
        <w:t>dication of all three elements.</w:t>
      </w:r>
    </w:p>
    <w:p w:rsidR="0045481B" w:rsidRDefault="0045481B" w:rsidP="00E72037">
      <w:pPr>
        <w:rPr>
          <w:rFonts w:cs="Arial"/>
        </w:rPr>
      </w:pPr>
    </w:p>
    <w:p w:rsidR="0045481B" w:rsidRPr="0045481B" w:rsidRDefault="0045481B" w:rsidP="00E72037">
      <w:pPr>
        <w:rPr>
          <w:rFonts w:cs="Arial"/>
          <w:b/>
        </w:rPr>
      </w:pPr>
      <w:r w:rsidRPr="0045481B">
        <w:rPr>
          <w:rFonts w:cs="Arial"/>
          <w:b/>
        </w:rPr>
        <w:t>6.</w:t>
      </w:r>
      <w:r w:rsidRPr="0045481B">
        <w:rPr>
          <w:rFonts w:cs="Arial"/>
          <w:b/>
        </w:rPr>
        <w:tab/>
        <w:t>Conclusion</w:t>
      </w:r>
    </w:p>
    <w:p w:rsidR="00DA2B25" w:rsidRDefault="00DA2B25" w:rsidP="00DA2B25">
      <w:pPr>
        <w:rPr>
          <w:rFonts w:cs="Arial"/>
        </w:rPr>
      </w:pPr>
    </w:p>
    <w:p w:rsidR="00DA2B25" w:rsidRDefault="00DA2B25" w:rsidP="0081162D">
      <w:pPr>
        <w:ind w:left="720" w:hanging="720"/>
        <w:rPr>
          <w:rFonts w:cs="Arial"/>
        </w:rPr>
      </w:pPr>
      <w:r>
        <w:rPr>
          <w:rFonts w:cs="Arial"/>
        </w:rPr>
        <w:t>6.1</w:t>
      </w:r>
      <w:r>
        <w:rPr>
          <w:rFonts w:cs="Arial"/>
        </w:rPr>
        <w:tab/>
      </w:r>
      <w:r w:rsidR="00A72AA9">
        <w:rPr>
          <w:rFonts w:cs="Arial"/>
        </w:rPr>
        <w:t xml:space="preserve">On the basis of a careful consideration by elected members of the application, relevant local and national planning policies, the advice of their planning and law officers, the representations made by the Appellant and members of local communities on both sides of the railway line the Council </w:t>
      </w:r>
      <w:r w:rsidR="005074D8">
        <w:rPr>
          <w:rFonts w:cs="Arial"/>
        </w:rPr>
        <w:t>decided to</w:t>
      </w:r>
      <w:r w:rsidR="00A72AA9">
        <w:rPr>
          <w:rFonts w:cs="Arial"/>
        </w:rPr>
        <w:t xml:space="preserve"> refuse</w:t>
      </w:r>
      <w:r>
        <w:rPr>
          <w:rFonts w:cs="Arial"/>
        </w:rPr>
        <w:t xml:space="preserve"> </w:t>
      </w:r>
      <w:r w:rsidR="00A72AA9">
        <w:rPr>
          <w:rFonts w:cs="Arial"/>
        </w:rPr>
        <w:t>to grant</w:t>
      </w:r>
      <w:r w:rsidR="0081162D">
        <w:rPr>
          <w:rFonts w:cs="Arial"/>
        </w:rPr>
        <w:t xml:space="preserve"> prior approval </w:t>
      </w:r>
      <w:r w:rsidR="00A72AA9">
        <w:rPr>
          <w:rFonts w:cs="Arial"/>
        </w:rPr>
        <w:t>for this application to construct a bridge which would injure the amenity of the neighbourhood because it would be inaccessible to users with ambulant disabilities and not in compliance with the Equality Act 2010.</w:t>
      </w:r>
      <w:r w:rsidR="0081162D">
        <w:rPr>
          <w:rFonts w:cs="Arial"/>
        </w:rPr>
        <w:t xml:space="preserve"> </w:t>
      </w:r>
      <w:r w:rsidR="00A72AA9">
        <w:rPr>
          <w:rFonts w:cs="Arial"/>
        </w:rPr>
        <w:t xml:space="preserve"> T</w:t>
      </w:r>
      <w:r w:rsidR="0081162D">
        <w:rPr>
          <w:rFonts w:cs="Arial"/>
        </w:rPr>
        <w:t>he Inspector is</w:t>
      </w:r>
      <w:r w:rsidR="00A72AA9">
        <w:rPr>
          <w:rFonts w:cs="Arial"/>
        </w:rPr>
        <w:t>, therefore,</w:t>
      </w:r>
      <w:r w:rsidRPr="00DA2B25">
        <w:rPr>
          <w:rFonts w:cs="Arial"/>
        </w:rPr>
        <w:t xml:space="preserve"> respectfully requested to dismiss this appeal for the reasons give</w:t>
      </w:r>
      <w:r w:rsidR="00DE1D40">
        <w:rPr>
          <w:rFonts w:cs="Arial"/>
        </w:rPr>
        <w:t>n</w:t>
      </w:r>
      <w:r w:rsidRPr="00DA2B25">
        <w:rPr>
          <w:rFonts w:cs="Arial"/>
        </w:rPr>
        <w:t>.</w:t>
      </w:r>
    </w:p>
    <w:p w:rsidR="003F7C2E" w:rsidRPr="00D8313E" w:rsidRDefault="001564DD">
      <w:pPr>
        <w:rPr>
          <w:b/>
          <w:bCs/>
          <w:sz w:val="32"/>
          <w:szCs w:val="32"/>
        </w:rPr>
      </w:pPr>
      <w:r>
        <w:rPr>
          <w:rFonts w:cs="Arial"/>
        </w:rPr>
        <w:br w:type="page"/>
      </w:r>
      <w:r w:rsidR="003F7C2E" w:rsidRPr="00D8313E">
        <w:rPr>
          <w:b/>
          <w:bCs/>
          <w:sz w:val="32"/>
          <w:szCs w:val="32"/>
        </w:rPr>
        <w:lastRenderedPageBreak/>
        <w:t xml:space="preserve">Appendix </w:t>
      </w:r>
      <w:r w:rsidR="006B61D5">
        <w:rPr>
          <w:b/>
          <w:bCs/>
          <w:sz w:val="32"/>
          <w:szCs w:val="32"/>
        </w:rPr>
        <w:t>A</w:t>
      </w:r>
    </w:p>
    <w:p w:rsidR="003F7C2E" w:rsidRDefault="003301E0">
      <w:pPr>
        <w:rPr>
          <w:b/>
          <w:bCs/>
          <w:sz w:val="32"/>
          <w:szCs w:val="32"/>
        </w:rPr>
      </w:pPr>
      <w:r>
        <w:rPr>
          <w:noProof/>
          <w:lang w:eastAsia="en-GB"/>
        </w:rPr>
        <w:drawing>
          <wp:anchor distT="0" distB="0" distL="114300" distR="114300" simplePos="0" relativeHeight="251658240" behindDoc="0" locked="0" layoutInCell="1" allowOverlap="1">
            <wp:simplePos x="0" y="0"/>
            <wp:positionH relativeFrom="column">
              <wp:posOffset>5210175</wp:posOffset>
            </wp:positionH>
            <wp:positionV relativeFrom="paragraph">
              <wp:posOffset>-759460</wp:posOffset>
            </wp:positionV>
            <wp:extent cx="1083945" cy="1447800"/>
            <wp:effectExtent l="0" t="0" r="190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945" cy="1447800"/>
                    </a:xfrm>
                    <a:prstGeom prst="rect">
                      <a:avLst/>
                    </a:prstGeom>
                    <a:noFill/>
                  </pic:spPr>
                </pic:pic>
              </a:graphicData>
            </a:graphic>
            <wp14:sizeRelH relativeFrom="page">
              <wp14:pctWidth>0</wp14:pctWidth>
            </wp14:sizeRelH>
            <wp14:sizeRelV relativeFrom="page">
              <wp14:pctHeight>0</wp14:pctHeight>
            </wp14:sizeRelV>
          </wp:anchor>
        </w:drawing>
      </w:r>
    </w:p>
    <w:p w:rsidR="00814961" w:rsidRPr="00D8313E" w:rsidRDefault="00814961" w:rsidP="00814961">
      <w:pPr>
        <w:rPr>
          <w:rFonts w:cs="Arial"/>
          <w:sz w:val="28"/>
          <w:szCs w:val="28"/>
        </w:rPr>
      </w:pPr>
      <w:r w:rsidRPr="00D8313E">
        <w:rPr>
          <w:rFonts w:cs="Arial"/>
          <w:sz w:val="28"/>
          <w:szCs w:val="28"/>
        </w:rPr>
        <w:t>APP/G3110/A/13/2196202</w:t>
      </w:r>
    </w:p>
    <w:p w:rsidR="003F7C2E" w:rsidRDefault="003F7C2E">
      <w:pPr>
        <w:rPr>
          <w:b/>
          <w:bCs/>
          <w:sz w:val="32"/>
          <w:szCs w:val="32"/>
        </w:rPr>
      </w:pPr>
    </w:p>
    <w:p w:rsidR="003F7C2E" w:rsidRPr="00D8313E" w:rsidRDefault="00814961">
      <w:pPr>
        <w:rPr>
          <w:bCs/>
          <w:sz w:val="28"/>
          <w:szCs w:val="28"/>
        </w:rPr>
      </w:pPr>
      <w:r w:rsidRPr="00D8313E">
        <w:rPr>
          <w:bCs/>
          <w:sz w:val="28"/>
          <w:szCs w:val="28"/>
        </w:rPr>
        <w:t>12/03282/PA11 – Hinksey Lake Footbridge</w:t>
      </w:r>
    </w:p>
    <w:p w:rsidR="003F7C2E" w:rsidRDefault="003F7C2E"/>
    <w:p w:rsidR="003F7C2E" w:rsidRDefault="003301E0">
      <w:r>
        <w:rPr>
          <w:noProof/>
          <w:lang w:eastAsia="en-GB"/>
        </w:rPr>
        <w:drawing>
          <wp:inline distT="0" distB="0" distL="0" distR="0">
            <wp:extent cx="5947410" cy="6130290"/>
            <wp:effectExtent l="0" t="0" r="0" b="381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410" cy="6130290"/>
                    </a:xfrm>
                    <a:prstGeom prst="rect">
                      <a:avLst/>
                    </a:prstGeom>
                    <a:noFill/>
                    <a:ln>
                      <a:noFill/>
                    </a:ln>
                  </pic:spPr>
                </pic:pic>
              </a:graphicData>
            </a:graphic>
          </wp:inline>
        </w:drawing>
      </w:r>
    </w:p>
    <w:p w:rsidR="003F7C2E" w:rsidRDefault="003F7C2E"/>
    <w:p w:rsidR="003F7C2E" w:rsidRDefault="003F7C2E"/>
    <w:p w:rsidR="003F7C2E" w:rsidRDefault="003F7C2E">
      <w:pPr>
        <w:rPr>
          <w:sz w:val="16"/>
          <w:szCs w:val="16"/>
        </w:rPr>
      </w:pPr>
      <w:r>
        <w:rPr>
          <w:sz w:val="16"/>
          <w:szCs w:val="16"/>
        </w:rPr>
        <w:t>© Crown Copyright and database right 2011.</w:t>
      </w:r>
    </w:p>
    <w:p w:rsidR="003F7C2E" w:rsidRDefault="003F7C2E">
      <w:pPr>
        <w:rPr>
          <w:sz w:val="16"/>
          <w:szCs w:val="16"/>
        </w:rPr>
      </w:pPr>
      <w:r>
        <w:rPr>
          <w:sz w:val="16"/>
          <w:szCs w:val="16"/>
        </w:rPr>
        <w:t>Ordnance Survey 100019348</w:t>
      </w:r>
    </w:p>
    <w:p w:rsidR="0045481B" w:rsidRDefault="0045481B" w:rsidP="00E72037">
      <w:pPr>
        <w:rPr>
          <w:rFonts w:cs="Arial"/>
        </w:rPr>
      </w:pPr>
    </w:p>
    <w:p w:rsidR="0045481B" w:rsidRDefault="0045481B" w:rsidP="00E72037">
      <w:pPr>
        <w:rPr>
          <w:rFonts w:cs="Arial"/>
        </w:rPr>
      </w:pPr>
    </w:p>
    <w:p w:rsidR="00D620A6" w:rsidRDefault="00D620A6">
      <w:pPr>
        <w:pStyle w:val="Footer"/>
        <w:tabs>
          <w:tab w:val="clear" w:pos="4153"/>
          <w:tab w:val="clear" w:pos="8306"/>
        </w:tabs>
        <w:rPr>
          <w:rFonts w:cs="Arial"/>
        </w:rPr>
      </w:pPr>
    </w:p>
    <w:p w:rsidR="004055E8" w:rsidRPr="004055E8" w:rsidRDefault="006942AE">
      <w:pPr>
        <w:pStyle w:val="Footer"/>
        <w:tabs>
          <w:tab w:val="clear" w:pos="4153"/>
          <w:tab w:val="clear" w:pos="8306"/>
        </w:tabs>
        <w:rPr>
          <w:rFonts w:cs="Arial"/>
        </w:rPr>
      </w:pPr>
      <w:r>
        <w:rPr>
          <w:rFonts w:cs="Arial"/>
        </w:rPr>
        <w:br w:type="page"/>
      </w:r>
    </w:p>
    <w:p w:rsidR="004055E8" w:rsidRDefault="004055E8">
      <w:pPr>
        <w:pStyle w:val="Footer"/>
        <w:tabs>
          <w:tab w:val="clear" w:pos="4153"/>
          <w:tab w:val="clear" w:pos="8306"/>
        </w:tabs>
        <w:rPr>
          <w:rFonts w:cs="Arial"/>
        </w:rPr>
      </w:pPr>
    </w:p>
    <w:p w:rsidR="00D620A6" w:rsidRPr="00D8313E" w:rsidRDefault="00D620A6">
      <w:pPr>
        <w:pStyle w:val="Footer"/>
        <w:tabs>
          <w:tab w:val="clear" w:pos="4153"/>
          <w:tab w:val="clear" w:pos="8306"/>
        </w:tabs>
        <w:rPr>
          <w:rFonts w:cs="Arial"/>
          <w:b/>
          <w:sz w:val="32"/>
          <w:szCs w:val="32"/>
        </w:rPr>
      </w:pPr>
      <w:r w:rsidRPr="00D8313E">
        <w:rPr>
          <w:rFonts w:cs="Arial"/>
          <w:b/>
          <w:sz w:val="32"/>
          <w:szCs w:val="32"/>
        </w:rPr>
        <w:t xml:space="preserve">Appendix </w:t>
      </w:r>
      <w:r w:rsidR="006B61D5">
        <w:rPr>
          <w:rFonts w:cs="Arial"/>
          <w:b/>
          <w:sz w:val="32"/>
          <w:szCs w:val="32"/>
        </w:rPr>
        <w:t>B</w:t>
      </w:r>
    </w:p>
    <w:p w:rsidR="00D620A6" w:rsidRDefault="00D620A6">
      <w:pPr>
        <w:pStyle w:val="Footer"/>
        <w:tabs>
          <w:tab w:val="clear" w:pos="4153"/>
          <w:tab w:val="clear" w:pos="8306"/>
        </w:tabs>
        <w:rPr>
          <w:rFonts w:cs="Arial"/>
          <w:sz w:val="32"/>
          <w:szCs w:val="32"/>
        </w:rPr>
      </w:pPr>
    </w:p>
    <w:p w:rsidR="00D8313E" w:rsidRPr="00D8313E" w:rsidRDefault="00D8313E">
      <w:pPr>
        <w:pStyle w:val="Footer"/>
        <w:tabs>
          <w:tab w:val="clear" w:pos="4153"/>
          <w:tab w:val="clear" w:pos="8306"/>
        </w:tabs>
        <w:rPr>
          <w:rFonts w:cs="Arial"/>
          <w:sz w:val="28"/>
          <w:szCs w:val="28"/>
        </w:rPr>
      </w:pPr>
      <w:r w:rsidRPr="00D8313E">
        <w:rPr>
          <w:rFonts w:cs="Arial"/>
          <w:sz w:val="28"/>
          <w:szCs w:val="28"/>
        </w:rPr>
        <w:t>12/03282/PA11 Decision Notice</w:t>
      </w:r>
    </w:p>
    <w:p w:rsidR="00D620A6" w:rsidRDefault="005867B1">
      <w:pPr>
        <w:pStyle w:val="Footer"/>
        <w:tabs>
          <w:tab w:val="clear" w:pos="4153"/>
          <w:tab w:val="clear" w:pos="8306"/>
        </w:tabs>
        <w:rPr>
          <w:rFonts w:cs="Arial"/>
        </w:rPr>
      </w:pPr>
      <w:bookmarkStart w:id="0" w:name="_GoBack"/>
      <w:r>
        <w:rPr>
          <w:rFonts w:cs="Arial"/>
          <w:noProof/>
          <w:lang w:eastAsia="en-GB"/>
        </w:rPr>
        <w:drawing>
          <wp:anchor distT="0" distB="0" distL="114300" distR="114300" simplePos="0" relativeHeight="251659264" behindDoc="0" locked="0" layoutInCell="1" allowOverlap="1" wp14:anchorId="02036445" wp14:editId="572A510E">
            <wp:simplePos x="0" y="0"/>
            <wp:positionH relativeFrom="margin">
              <wp:posOffset>-617220</wp:posOffset>
            </wp:positionH>
            <wp:positionV relativeFrom="margin">
              <wp:posOffset>1023620</wp:posOffset>
            </wp:positionV>
            <wp:extent cx="6226810" cy="796353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6810" cy="79635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DB3BAC" w:rsidRPr="005867B1" w:rsidRDefault="003301E0" w:rsidP="005867B1">
      <w:pPr>
        <w:pStyle w:val="Footer"/>
        <w:tabs>
          <w:tab w:val="clear" w:pos="4153"/>
          <w:tab w:val="clear" w:pos="8306"/>
        </w:tabs>
        <w:rPr>
          <w:rFonts w:cs="Arial"/>
        </w:rPr>
      </w:pPr>
      <w:r>
        <w:rPr>
          <w:rFonts w:cs="Arial"/>
          <w:noProof/>
          <w:lang w:eastAsia="en-GB"/>
        </w:rPr>
        <w:lastRenderedPageBreak/>
        <w:drawing>
          <wp:inline distT="0" distB="0" distL="0" distR="0" wp14:anchorId="1055D917" wp14:editId="48760792">
            <wp:extent cx="6017809" cy="83343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7809" cy="8334375"/>
                    </a:xfrm>
                    <a:prstGeom prst="rect">
                      <a:avLst/>
                    </a:prstGeom>
                    <a:noFill/>
                    <a:ln>
                      <a:noFill/>
                    </a:ln>
                  </pic:spPr>
                </pic:pic>
              </a:graphicData>
            </a:graphic>
          </wp:inline>
        </w:drawing>
      </w:r>
      <w:r>
        <w:rPr>
          <w:rFonts w:cs="Arial"/>
          <w:noProof/>
          <w:lang w:eastAsia="en-GB"/>
        </w:rPr>
        <w:lastRenderedPageBreak/>
        <w:drawing>
          <wp:inline distT="0" distB="0" distL="0" distR="0" wp14:anchorId="730D3910" wp14:editId="5D531086">
            <wp:extent cx="5979160" cy="847598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9160" cy="8475980"/>
                    </a:xfrm>
                    <a:prstGeom prst="rect">
                      <a:avLst/>
                    </a:prstGeom>
                    <a:noFill/>
                    <a:ln>
                      <a:noFill/>
                    </a:ln>
                  </pic:spPr>
                </pic:pic>
              </a:graphicData>
            </a:graphic>
          </wp:inline>
        </w:drawing>
      </w:r>
      <w:r>
        <w:rPr>
          <w:rFonts w:cs="Arial"/>
          <w:noProof/>
          <w:lang w:eastAsia="en-GB"/>
        </w:rPr>
        <w:lastRenderedPageBreak/>
        <w:drawing>
          <wp:inline distT="0" distB="0" distL="0" distR="0" wp14:anchorId="56ADCC4E" wp14:editId="6483AE31">
            <wp:extent cx="5995035" cy="8507730"/>
            <wp:effectExtent l="0" t="0" r="571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5035" cy="8507730"/>
                    </a:xfrm>
                    <a:prstGeom prst="rect">
                      <a:avLst/>
                    </a:prstGeom>
                    <a:noFill/>
                    <a:ln>
                      <a:noFill/>
                    </a:ln>
                  </pic:spPr>
                </pic:pic>
              </a:graphicData>
            </a:graphic>
          </wp:inline>
        </w:drawing>
      </w:r>
      <w:r>
        <w:rPr>
          <w:rFonts w:cs="Arial"/>
          <w:noProof/>
          <w:lang w:eastAsia="en-GB"/>
        </w:rPr>
        <w:lastRenderedPageBreak/>
        <w:drawing>
          <wp:inline distT="0" distB="0" distL="0" distR="0" wp14:anchorId="2ABE702F" wp14:editId="66E28181">
            <wp:extent cx="6335049" cy="9388549"/>
            <wp:effectExtent l="0" t="0" r="889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5049" cy="9388549"/>
                    </a:xfrm>
                    <a:prstGeom prst="rect">
                      <a:avLst/>
                    </a:prstGeom>
                    <a:noFill/>
                    <a:ln>
                      <a:noFill/>
                    </a:ln>
                  </pic:spPr>
                </pic:pic>
              </a:graphicData>
            </a:graphic>
          </wp:inline>
        </w:drawing>
      </w:r>
      <w:r w:rsidR="00743693">
        <w:rPr>
          <w:rFonts w:cs="Arial"/>
        </w:rPr>
        <w:br w:type="page"/>
      </w:r>
      <w:r w:rsidR="00DB3BAC" w:rsidRPr="00D8313E">
        <w:rPr>
          <w:rFonts w:cs="Arial"/>
          <w:b/>
          <w:bCs/>
          <w:color w:val="000000"/>
          <w:sz w:val="32"/>
          <w:szCs w:val="32"/>
          <w:lang w:val="en"/>
        </w:rPr>
        <w:lastRenderedPageBreak/>
        <w:t xml:space="preserve">Appendix </w:t>
      </w:r>
      <w:r w:rsidR="005867B1">
        <w:rPr>
          <w:rFonts w:cs="Arial"/>
          <w:b/>
          <w:bCs/>
          <w:color w:val="000000"/>
          <w:sz w:val="32"/>
          <w:szCs w:val="32"/>
          <w:lang w:val="en"/>
        </w:rPr>
        <w:t>C</w:t>
      </w:r>
    </w:p>
    <w:p w:rsidR="00DB3BAC" w:rsidRDefault="00DB3BAC" w:rsidP="00DB3BAC">
      <w:pPr>
        <w:shd w:val="clear" w:color="auto" w:fill="FFFFFF"/>
        <w:spacing w:line="288" w:lineRule="atLeast"/>
        <w:jc w:val="center"/>
        <w:outlineLvl w:val="3"/>
        <w:rPr>
          <w:rFonts w:cs="Arial"/>
          <w:b/>
          <w:bCs/>
          <w:color w:val="000000"/>
          <w:sz w:val="21"/>
          <w:lang w:val="en"/>
        </w:rPr>
      </w:pPr>
    </w:p>
    <w:p w:rsidR="00DB3BAC" w:rsidRDefault="00DB3BAC" w:rsidP="00DB3BAC">
      <w:pPr>
        <w:shd w:val="clear" w:color="auto" w:fill="FFFFFF"/>
        <w:spacing w:line="288" w:lineRule="atLeast"/>
        <w:jc w:val="center"/>
        <w:outlineLvl w:val="3"/>
        <w:rPr>
          <w:rFonts w:cs="Arial"/>
          <w:b/>
          <w:bCs/>
          <w:color w:val="000000"/>
          <w:sz w:val="21"/>
          <w:lang w:val="en"/>
        </w:rPr>
      </w:pPr>
      <w:r w:rsidRPr="003D3BB7">
        <w:rPr>
          <w:rFonts w:cs="Arial"/>
          <w:b/>
          <w:bCs/>
          <w:color w:val="000000"/>
          <w:sz w:val="21"/>
          <w:lang w:val="en"/>
        </w:rPr>
        <w:t>PART 11</w:t>
      </w:r>
    </w:p>
    <w:p w:rsidR="00DB3BAC" w:rsidRPr="003D3BB7" w:rsidRDefault="00DB3BAC" w:rsidP="00DB3BAC">
      <w:pPr>
        <w:shd w:val="clear" w:color="auto" w:fill="FFFFFF"/>
        <w:spacing w:line="288" w:lineRule="atLeast"/>
        <w:jc w:val="center"/>
        <w:outlineLvl w:val="3"/>
        <w:rPr>
          <w:rFonts w:cs="Arial"/>
          <w:color w:val="000000"/>
          <w:sz w:val="23"/>
          <w:szCs w:val="23"/>
          <w:lang w:val="en"/>
        </w:rPr>
      </w:pPr>
      <w:r w:rsidRPr="003D3BB7">
        <w:rPr>
          <w:rFonts w:cs="Arial"/>
          <w:b/>
          <w:bCs/>
          <w:color w:val="000000"/>
          <w:sz w:val="21"/>
          <w:lang w:val="en"/>
        </w:rPr>
        <w:t>DEVELOPMENT UNDER LOCAL OR PRIVATE ACTS OR ORDERS</w:t>
      </w:r>
    </w:p>
    <w:p w:rsidR="00DB3BAC" w:rsidRPr="003D3BB7" w:rsidRDefault="00DB3BAC" w:rsidP="00DB3BAC">
      <w:pPr>
        <w:shd w:val="clear" w:color="auto" w:fill="FFFFFF"/>
        <w:spacing w:after="240" w:line="288" w:lineRule="atLeast"/>
        <w:jc w:val="center"/>
        <w:outlineLvl w:val="4"/>
        <w:rPr>
          <w:rFonts w:cs="Arial"/>
          <w:color w:val="000000"/>
          <w:sz w:val="23"/>
          <w:szCs w:val="23"/>
          <w:lang w:val="en"/>
        </w:rPr>
      </w:pPr>
      <w:r w:rsidRPr="003D3BB7">
        <w:rPr>
          <w:rFonts w:cs="Arial"/>
          <w:b/>
          <w:bCs/>
          <w:i/>
          <w:iCs/>
          <w:color w:val="000000"/>
          <w:sz w:val="18"/>
          <w:lang w:val="en"/>
        </w:rPr>
        <w:t>Class A</w:t>
      </w:r>
    </w:p>
    <w:p w:rsidR="00DB3BAC" w:rsidRPr="003D3BB7" w:rsidRDefault="00DB3BAC" w:rsidP="00DB3BAC">
      <w:pPr>
        <w:shd w:val="clear" w:color="auto" w:fill="FFFFFF"/>
        <w:spacing w:after="120" w:line="288" w:lineRule="atLeast"/>
        <w:jc w:val="both"/>
        <w:outlineLvl w:val="5"/>
        <w:rPr>
          <w:rFonts w:cs="Arial"/>
          <w:b/>
          <w:bCs/>
          <w:color w:val="000000"/>
          <w:sz w:val="18"/>
          <w:szCs w:val="18"/>
          <w:lang w:val="en"/>
        </w:rPr>
      </w:pPr>
      <w:r>
        <w:rPr>
          <w:rFonts w:cs="Arial"/>
          <w:b/>
          <w:bCs/>
          <w:color w:val="000000"/>
          <w:sz w:val="18"/>
          <w:szCs w:val="18"/>
          <w:lang w:val="en"/>
        </w:rPr>
        <w:t xml:space="preserve">A. </w:t>
      </w:r>
      <w:r w:rsidRPr="003D3BB7">
        <w:rPr>
          <w:rFonts w:cs="Arial"/>
          <w:b/>
          <w:bCs/>
          <w:color w:val="000000"/>
          <w:sz w:val="18"/>
          <w:szCs w:val="18"/>
          <w:lang w:val="en"/>
        </w:rPr>
        <w:t>Permitted development</w:t>
      </w:r>
    </w:p>
    <w:p w:rsidR="00DB3BAC" w:rsidRPr="003D3BB7" w:rsidRDefault="00DB3BAC" w:rsidP="00DB3BAC">
      <w:pPr>
        <w:shd w:val="clear" w:color="auto" w:fill="FFFFFF"/>
        <w:spacing w:after="120" w:line="360" w:lineRule="atLeast"/>
        <w:jc w:val="both"/>
        <w:rPr>
          <w:rFonts w:cs="Arial"/>
          <w:color w:val="494949"/>
          <w:sz w:val="18"/>
          <w:szCs w:val="18"/>
          <w:lang w:val="en"/>
        </w:rPr>
      </w:pPr>
      <w:r w:rsidRPr="003D3BB7">
        <w:rPr>
          <w:rFonts w:cs="Arial"/>
          <w:b/>
          <w:bCs/>
          <w:color w:val="494949"/>
          <w:sz w:val="18"/>
          <w:lang w:val="en"/>
        </w:rPr>
        <w:t xml:space="preserve">Development </w:t>
      </w:r>
      <w:proofErr w:type="spellStart"/>
      <w:r w:rsidRPr="003D3BB7">
        <w:rPr>
          <w:rFonts w:cs="Arial"/>
          <w:b/>
          <w:bCs/>
          <w:color w:val="494949"/>
          <w:sz w:val="18"/>
          <w:lang w:val="en"/>
        </w:rPr>
        <w:t>authorised</w:t>
      </w:r>
      <w:proofErr w:type="spellEnd"/>
      <w:r w:rsidRPr="003D3BB7">
        <w:rPr>
          <w:rFonts w:cs="Arial"/>
          <w:b/>
          <w:bCs/>
          <w:color w:val="494949"/>
          <w:sz w:val="18"/>
          <w:lang w:val="en"/>
        </w:rPr>
        <w:t xml:space="preserve"> by—</w:t>
      </w:r>
      <w:r w:rsidRPr="003D3BB7">
        <w:rPr>
          <w:rFonts w:cs="Arial"/>
          <w:color w:val="494949"/>
          <w:sz w:val="18"/>
          <w:szCs w:val="18"/>
          <w:lang w:val="en"/>
        </w:rPr>
        <w:t xml:space="preserve"> </w:t>
      </w:r>
    </w:p>
    <w:p w:rsidR="00DB3BAC" w:rsidRPr="003D3BB7" w:rsidRDefault="00DB3BAC" w:rsidP="00DB3BAC">
      <w:pPr>
        <w:shd w:val="clear" w:color="auto" w:fill="FFFFFF"/>
        <w:spacing w:after="120" w:line="360" w:lineRule="atLeast"/>
        <w:ind w:firstLine="720"/>
        <w:rPr>
          <w:rFonts w:cs="Arial"/>
          <w:color w:val="494949"/>
          <w:sz w:val="18"/>
          <w:szCs w:val="18"/>
          <w:lang w:val="en"/>
        </w:rPr>
      </w:pPr>
      <w:r w:rsidRPr="003D3BB7">
        <w:rPr>
          <w:rFonts w:cs="Arial"/>
          <w:color w:val="494949"/>
          <w:sz w:val="18"/>
          <w:lang w:val="en"/>
        </w:rPr>
        <w:t>(</w:t>
      </w:r>
      <w:proofErr w:type="gramStart"/>
      <w:r w:rsidRPr="003D3BB7">
        <w:rPr>
          <w:rFonts w:cs="Arial"/>
          <w:color w:val="494949"/>
          <w:sz w:val="18"/>
          <w:lang w:val="en"/>
        </w:rPr>
        <w:t>a</w:t>
      </w:r>
      <w:r>
        <w:rPr>
          <w:rFonts w:cs="Arial"/>
          <w:color w:val="494949"/>
          <w:sz w:val="18"/>
          <w:lang w:val="en"/>
        </w:rPr>
        <w:t xml:space="preserve"> </w:t>
      </w:r>
      <w:r w:rsidRPr="003D3BB7">
        <w:rPr>
          <w:rFonts w:cs="Arial"/>
          <w:color w:val="494949"/>
          <w:sz w:val="18"/>
          <w:lang w:val="en"/>
        </w:rPr>
        <w:t>)</w:t>
      </w:r>
      <w:proofErr w:type="gramEnd"/>
      <w:r w:rsidRPr="003D3BB7">
        <w:rPr>
          <w:rFonts w:cs="Arial"/>
          <w:b/>
          <w:bCs/>
          <w:color w:val="494949"/>
          <w:sz w:val="18"/>
          <w:lang w:val="en"/>
        </w:rPr>
        <w:t>a local or private Act of Parliament,</w:t>
      </w:r>
      <w:r w:rsidRPr="003D3BB7">
        <w:rPr>
          <w:rFonts w:cs="Arial"/>
          <w:color w:val="494949"/>
          <w:sz w:val="18"/>
          <w:szCs w:val="18"/>
          <w:lang w:val="en"/>
        </w:rPr>
        <w:t xml:space="preserve"> </w:t>
      </w:r>
    </w:p>
    <w:p w:rsidR="00DB3BAC" w:rsidRPr="003D3BB7" w:rsidRDefault="00DB3BAC" w:rsidP="00DB3BAC">
      <w:pPr>
        <w:shd w:val="clear" w:color="auto" w:fill="FFFFFF"/>
        <w:spacing w:after="120" w:line="360" w:lineRule="atLeast"/>
        <w:ind w:firstLine="720"/>
        <w:rPr>
          <w:rFonts w:cs="Arial"/>
          <w:color w:val="494949"/>
          <w:sz w:val="18"/>
          <w:szCs w:val="18"/>
          <w:lang w:val="en"/>
        </w:rPr>
      </w:pPr>
      <w:r w:rsidRPr="003D3BB7">
        <w:rPr>
          <w:rFonts w:cs="Arial"/>
          <w:color w:val="494949"/>
          <w:sz w:val="18"/>
          <w:lang w:val="en"/>
        </w:rPr>
        <w:t>(b)</w:t>
      </w:r>
      <w:r>
        <w:rPr>
          <w:rFonts w:cs="Arial"/>
          <w:color w:val="494949"/>
          <w:sz w:val="18"/>
          <w:lang w:val="en"/>
        </w:rPr>
        <w:t xml:space="preserve"> </w:t>
      </w:r>
      <w:proofErr w:type="gramStart"/>
      <w:r w:rsidRPr="003D3BB7">
        <w:rPr>
          <w:rFonts w:cs="Arial"/>
          <w:b/>
          <w:bCs/>
          <w:color w:val="494949"/>
          <w:sz w:val="18"/>
          <w:lang w:val="en"/>
        </w:rPr>
        <w:t>an</w:t>
      </w:r>
      <w:proofErr w:type="gramEnd"/>
      <w:r w:rsidRPr="003D3BB7">
        <w:rPr>
          <w:rFonts w:cs="Arial"/>
          <w:b/>
          <w:bCs/>
          <w:color w:val="494949"/>
          <w:sz w:val="18"/>
          <w:lang w:val="en"/>
        </w:rPr>
        <w:t xml:space="preserve"> order approved by both Houses of Parliament, or</w:t>
      </w:r>
      <w:r w:rsidRPr="003D3BB7">
        <w:rPr>
          <w:rFonts w:cs="Arial"/>
          <w:color w:val="494949"/>
          <w:sz w:val="18"/>
          <w:szCs w:val="18"/>
          <w:lang w:val="en"/>
        </w:rPr>
        <w:t xml:space="preserve"> </w:t>
      </w:r>
    </w:p>
    <w:p w:rsidR="00DB3BAC" w:rsidRPr="003D3BB7" w:rsidRDefault="00DB3BAC" w:rsidP="00DB3BAC">
      <w:pPr>
        <w:shd w:val="clear" w:color="auto" w:fill="FFFFFF"/>
        <w:spacing w:after="120" w:line="360" w:lineRule="atLeast"/>
        <w:ind w:left="720"/>
        <w:rPr>
          <w:rFonts w:cs="Arial"/>
          <w:color w:val="494949"/>
          <w:sz w:val="18"/>
          <w:szCs w:val="18"/>
          <w:lang w:val="en"/>
        </w:rPr>
      </w:pPr>
      <w:r w:rsidRPr="003D3BB7">
        <w:rPr>
          <w:rFonts w:cs="Arial"/>
          <w:color w:val="494949"/>
          <w:sz w:val="18"/>
          <w:lang w:val="en"/>
        </w:rPr>
        <w:t>(</w:t>
      </w:r>
      <w:proofErr w:type="gramStart"/>
      <w:r w:rsidRPr="003D3BB7">
        <w:rPr>
          <w:rFonts w:cs="Arial"/>
          <w:color w:val="494949"/>
          <w:sz w:val="18"/>
          <w:lang w:val="en"/>
        </w:rPr>
        <w:t>c</w:t>
      </w:r>
      <w:proofErr w:type="gramEnd"/>
      <w:r>
        <w:rPr>
          <w:rFonts w:cs="Arial"/>
          <w:color w:val="494949"/>
          <w:sz w:val="18"/>
          <w:lang w:val="en"/>
        </w:rPr>
        <w:t xml:space="preserve"> </w:t>
      </w:r>
      <w:r w:rsidRPr="003D3BB7">
        <w:rPr>
          <w:rFonts w:cs="Arial"/>
          <w:color w:val="494949"/>
          <w:sz w:val="18"/>
          <w:lang w:val="en"/>
        </w:rPr>
        <w:t>)</w:t>
      </w:r>
      <w:r w:rsidRPr="003D3BB7">
        <w:rPr>
          <w:rFonts w:cs="Arial"/>
          <w:b/>
          <w:bCs/>
          <w:color w:val="494949"/>
          <w:sz w:val="18"/>
          <w:lang w:val="en"/>
        </w:rPr>
        <w:t xml:space="preserve">an order under section 14 or 16 of the </w:t>
      </w:r>
      <w:proofErr w:type="spellStart"/>
      <w:r w:rsidRPr="003D3BB7">
        <w:rPr>
          <w:rFonts w:cs="Arial"/>
          <w:b/>
          <w:bCs/>
          <w:color w:val="494949"/>
          <w:sz w:val="18"/>
          <w:lang w:val="en"/>
        </w:rPr>
        <w:t>Harbours</w:t>
      </w:r>
      <w:proofErr w:type="spellEnd"/>
      <w:r w:rsidRPr="003D3BB7">
        <w:rPr>
          <w:rFonts w:cs="Arial"/>
          <w:b/>
          <w:bCs/>
          <w:color w:val="494949"/>
          <w:sz w:val="18"/>
          <w:lang w:val="en"/>
        </w:rPr>
        <w:t xml:space="preserve"> Act 1964(</w:t>
      </w:r>
      <w:hyperlink r:id="rId16" w:anchor="f00030#f00030" w:tooltip="Go to footnote 2" w:history="1">
        <w:r w:rsidRPr="003D3BB7">
          <w:rPr>
            <w:rFonts w:cs="Arial"/>
            <w:b/>
            <w:bCs/>
            <w:color w:val="006699"/>
            <w:sz w:val="18"/>
            <w:lang w:val="en"/>
          </w:rPr>
          <w:t>2</w:t>
        </w:r>
      </w:hyperlink>
      <w:r w:rsidRPr="003D3BB7">
        <w:rPr>
          <w:rFonts w:cs="Arial"/>
          <w:b/>
          <w:bCs/>
          <w:color w:val="494949"/>
          <w:sz w:val="18"/>
          <w:lang w:val="en"/>
        </w:rPr>
        <w:t xml:space="preserve">)(orders for securing </w:t>
      </w:r>
      <w:proofErr w:type="spellStart"/>
      <w:r w:rsidRPr="003D3BB7">
        <w:rPr>
          <w:rFonts w:cs="Arial"/>
          <w:b/>
          <w:bCs/>
          <w:color w:val="494949"/>
          <w:sz w:val="18"/>
          <w:lang w:val="en"/>
        </w:rPr>
        <w:t>harbour</w:t>
      </w:r>
      <w:proofErr w:type="spellEnd"/>
      <w:r w:rsidRPr="003D3BB7">
        <w:rPr>
          <w:rFonts w:cs="Arial"/>
          <w:b/>
          <w:bCs/>
          <w:color w:val="494949"/>
          <w:sz w:val="18"/>
          <w:lang w:val="en"/>
        </w:rPr>
        <w:t xml:space="preserve"> efficiency </w:t>
      </w:r>
      <w:r w:rsidRPr="003D3BB7">
        <w:rPr>
          <w:rFonts w:cs="Arial"/>
          <w:b/>
          <w:bCs/>
          <w:color w:val="494949"/>
          <w:sz w:val="18"/>
          <w:lang w:val="la-Latn"/>
        </w:rPr>
        <w:t>etc.</w:t>
      </w:r>
      <w:r w:rsidRPr="003D3BB7">
        <w:rPr>
          <w:rFonts w:cs="Arial"/>
          <w:b/>
          <w:bCs/>
          <w:color w:val="494949"/>
          <w:sz w:val="18"/>
          <w:lang w:val="en"/>
        </w:rPr>
        <w:t xml:space="preserve">, and orders conferring powers for improvement, construction etc. of </w:t>
      </w:r>
      <w:proofErr w:type="spellStart"/>
      <w:r w:rsidRPr="003D3BB7">
        <w:rPr>
          <w:rFonts w:cs="Arial"/>
          <w:b/>
          <w:bCs/>
          <w:color w:val="494949"/>
          <w:sz w:val="18"/>
          <w:lang w:val="en"/>
        </w:rPr>
        <w:t>harbours</w:t>
      </w:r>
      <w:proofErr w:type="spellEnd"/>
      <w:r w:rsidRPr="003D3BB7">
        <w:rPr>
          <w:rFonts w:cs="Arial"/>
          <w:b/>
          <w:bCs/>
          <w:color w:val="494949"/>
          <w:sz w:val="18"/>
          <w:lang w:val="en"/>
        </w:rPr>
        <w:t>)</w:t>
      </w:r>
      <w:r w:rsidRPr="003D3BB7">
        <w:rPr>
          <w:rFonts w:cs="Arial"/>
          <w:color w:val="494949"/>
          <w:sz w:val="18"/>
          <w:szCs w:val="18"/>
          <w:lang w:val="en"/>
        </w:rPr>
        <w:t xml:space="preserve"> </w:t>
      </w:r>
    </w:p>
    <w:p w:rsidR="00DB3BAC" w:rsidRPr="003D3BB7" w:rsidRDefault="00DB3BAC" w:rsidP="00DB3BAC">
      <w:pPr>
        <w:shd w:val="clear" w:color="auto" w:fill="FFFFFF"/>
        <w:spacing w:after="120" w:line="360" w:lineRule="atLeast"/>
        <w:jc w:val="both"/>
        <w:rPr>
          <w:rFonts w:cs="Arial"/>
          <w:color w:val="494949"/>
          <w:sz w:val="18"/>
          <w:szCs w:val="18"/>
          <w:lang w:val="en"/>
        </w:rPr>
      </w:pPr>
      <w:proofErr w:type="gramStart"/>
      <w:r w:rsidRPr="003D3BB7">
        <w:rPr>
          <w:rFonts w:cs="Arial"/>
          <w:b/>
          <w:bCs/>
          <w:color w:val="494949"/>
          <w:sz w:val="18"/>
          <w:lang w:val="en"/>
        </w:rPr>
        <w:t>which</w:t>
      </w:r>
      <w:proofErr w:type="gramEnd"/>
      <w:r w:rsidRPr="003D3BB7">
        <w:rPr>
          <w:rFonts w:cs="Arial"/>
          <w:b/>
          <w:bCs/>
          <w:color w:val="494949"/>
          <w:sz w:val="18"/>
          <w:lang w:val="en"/>
        </w:rPr>
        <w:t xml:space="preserve"> designates specifically the nature of the development </w:t>
      </w:r>
      <w:proofErr w:type="spellStart"/>
      <w:r w:rsidRPr="003D3BB7">
        <w:rPr>
          <w:rFonts w:cs="Arial"/>
          <w:b/>
          <w:bCs/>
          <w:color w:val="494949"/>
          <w:sz w:val="18"/>
          <w:lang w:val="en"/>
        </w:rPr>
        <w:t>authorised</w:t>
      </w:r>
      <w:proofErr w:type="spellEnd"/>
      <w:r w:rsidRPr="003D3BB7">
        <w:rPr>
          <w:rFonts w:cs="Arial"/>
          <w:b/>
          <w:bCs/>
          <w:color w:val="494949"/>
          <w:sz w:val="18"/>
          <w:lang w:val="en"/>
        </w:rPr>
        <w:t xml:space="preserve"> and the land upon which it may be carried out.</w:t>
      </w:r>
      <w:r w:rsidRPr="003D3BB7">
        <w:rPr>
          <w:rFonts w:cs="Arial"/>
          <w:color w:val="494949"/>
          <w:sz w:val="18"/>
          <w:szCs w:val="18"/>
          <w:lang w:val="en"/>
        </w:rPr>
        <w:t xml:space="preserve"> </w:t>
      </w:r>
    </w:p>
    <w:p w:rsidR="00DB3BAC" w:rsidRPr="003D3BB7" w:rsidRDefault="00DB3BAC" w:rsidP="00DB3BAC">
      <w:pPr>
        <w:shd w:val="clear" w:color="auto" w:fill="FFFFFF"/>
        <w:spacing w:after="120" w:line="288" w:lineRule="atLeast"/>
        <w:jc w:val="both"/>
        <w:outlineLvl w:val="5"/>
        <w:rPr>
          <w:rFonts w:cs="Arial"/>
          <w:b/>
          <w:bCs/>
          <w:color w:val="000000"/>
          <w:sz w:val="18"/>
          <w:szCs w:val="18"/>
          <w:lang w:val="en"/>
        </w:rPr>
      </w:pPr>
      <w:r>
        <w:rPr>
          <w:rFonts w:cs="Arial"/>
          <w:b/>
          <w:bCs/>
          <w:color w:val="000000"/>
          <w:sz w:val="18"/>
          <w:szCs w:val="18"/>
          <w:lang w:val="en"/>
        </w:rPr>
        <w:t xml:space="preserve">A.1 </w:t>
      </w:r>
      <w:r w:rsidRPr="003D3BB7">
        <w:rPr>
          <w:rFonts w:cs="Arial"/>
          <w:b/>
          <w:bCs/>
          <w:color w:val="000000"/>
          <w:sz w:val="18"/>
          <w:szCs w:val="18"/>
          <w:lang w:val="en"/>
        </w:rPr>
        <w:t>Condition</w:t>
      </w:r>
    </w:p>
    <w:p w:rsidR="00DB3BAC" w:rsidRPr="003D3BB7" w:rsidRDefault="00DB3BAC" w:rsidP="00DB3BAC">
      <w:pPr>
        <w:shd w:val="clear" w:color="auto" w:fill="FFFFFF"/>
        <w:spacing w:after="120" w:line="360" w:lineRule="atLeast"/>
        <w:jc w:val="both"/>
        <w:rPr>
          <w:rFonts w:cs="Arial"/>
          <w:color w:val="494949"/>
          <w:sz w:val="18"/>
          <w:szCs w:val="18"/>
          <w:lang w:val="en"/>
        </w:rPr>
      </w:pPr>
      <w:r w:rsidRPr="003D3BB7">
        <w:rPr>
          <w:rFonts w:cs="Arial"/>
          <w:color w:val="494949"/>
          <w:sz w:val="18"/>
          <w:szCs w:val="18"/>
          <w:lang w:val="en"/>
        </w:rPr>
        <w:t xml:space="preserve">Development is not permitted by Class A if it consists of or includes— </w:t>
      </w:r>
    </w:p>
    <w:p w:rsidR="00DB3BAC" w:rsidRPr="003D3BB7" w:rsidRDefault="00DB3BAC" w:rsidP="00DB3BAC">
      <w:pPr>
        <w:shd w:val="clear" w:color="auto" w:fill="FFFFFF"/>
        <w:spacing w:after="120" w:line="360" w:lineRule="atLeast"/>
        <w:ind w:firstLine="720"/>
        <w:rPr>
          <w:rFonts w:cs="Arial"/>
          <w:color w:val="494949"/>
          <w:sz w:val="18"/>
          <w:szCs w:val="18"/>
          <w:lang w:val="en"/>
        </w:rPr>
      </w:pPr>
      <w:r w:rsidRPr="003D3BB7">
        <w:rPr>
          <w:rFonts w:cs="Arial"/>
          <w:color w:val="494949"/>
          <w:sz w:val="18"/>
          <w:lang w:val="en"/>
        </w:rPr>
        <w:t>(</w:t>
      </w:r>
      <w:proofErr w:type="gramStart"/>
      <w:r w:rsidRPr="003D3BB7">
        <w:rPr>
          <w:rFonts w:cs="Arial"/>
          <w:color w:val="494949"/>
          <w:sz w:val="18"/>
          <w:lang w:val="en"/>
        </w:rPr>
        <w:t>a</w:t>
      </w:r>
      <w:r>
        <w:rPr>
          <w:rFonts w:cs="Arial"/>
          <w:color w:val="494949"/>
          <w:sz w:val="18"/>
          <w:lang w:val="en"/>
        </w:rPr>
        <w:t xml:space="preserve"> </w:t>
      </w:r>
      <w:r w:rsidRPr="003D3BB7">
        <w:rPr>
          <w:rFonts w:cs="Arial"/>
          <w:color w:val="494949"/>
          <w:sz w:val="18"/>
          <w:lang w:val="en"/>
        </w:rPr>
        <w:t>)</w:t>
      </w:r>
      <w:proofErr w:type="gramEnd"/>
      <w:r w:rsidRPr="003D3BB7">
        <w:rPr>
          <w:rFonts w:cs="Arial"/>
          <w:color w:val="494949"/>
          <w:sz w:val="18"/>
          <w:lang w:val="en"/>
        </w:rPr>
        <w:t>the erection, construction, alteration or extension of any building, bridge, aqueduct, pier or dam, or</w:t>
      </w:r>
      <w:r w:rsidRPr="003D3BB7">
        <w:rPr>
          <w:rFonts w:cs="Arial"/>
          <w:color w:val="494949"/>
          <w:sz w:val="18"/>
          <w:szCs w:val="18"/>
          <w:lang w:val="en"/>
        </w:rPr>
        <w:t xml:space="preserve"> </w:t>
      </w:r>
    </w:p>
    <w:p w:rsidR="00DB3BAC" w:rsidRPr="003D3BB7" w:rsidRDefault="00DB3BAC" w:rsidP="00DB3BAC">
      <w:pPr>
        <w:shd w:val="clear" w:color="auto" w:fill="FFFFFF"/>
        <w:spacing w:after="120" w:line="360" w:lineRule="atLeast"/>
        <w:ind w:firstLine="720"/>
        <w:rPr>
          <w:rFonts w:cs="Arial"/>
          <w:color w:val="494949"/>
          <w:sz w:val="18"/>
          <w:szCs w:val="18"/>
          <w:lang w:val="en"/>
        </w:rPr>
      </w:pPr>
      <w:r w:rsidRPr="003D3BB7">
        <w:rPr>
          <w:rFonts w:cs="Arial"/>
          <w:color w:val="494949"/>
          <w:sz w:val="18"/>
          <w:lang w:val="en"/>
        </w:rPr>
        <w:t>(</w:t>
      </w:r>
      <w:proofErr w:type="gramStart"/>
      <w:r w:rsidRPr="003D3BB7">
        <w:rPr>
          <w:rFonts w:cs="Arial"/>
          <w:color w:val="494949"/>
          <w:sz w:val="18"/>
          <w:lang w:val="en"/>
        </w:rPr>
        <w:t>b</w:t>
      </w:r>
      <w:r>
        <w:rPr>
          <w:rFonts w:cs="Arial"/>
          <w:color w:val="494949"/>
          <w:sz w:val="18"/>
          <w:lang w:val="en"/>
        </w:rPr>
        <w:t xml:space="preserve"> </w:t>
      </w:r>
      <w:r w:rsidRPr="003D3BB7">
        <w:rPr>
          <w:rFonts w:cs="Arial"/>
          <w:color w:val="494949"/>
          <w:sz w:val="18"/>
          <w:lang w:val="en"/>
        </w:rPr>
        <w:t>)</w:t>
      </w:r>
      <w:proofErr w:type="gramEnd"/>
      <w:r w:rsidRPr="003D3BB7">
        <w:rPr>
          <w:rFonts w:cs="Arial"/>
          <w:color w:val="494949"/>
          <w:sz w:val="18"/>
          <w:lang w:val="en"/>
        </w:rPr>
        <w:t>the formation, laying out or alteration of a means of access to any highway used by vehicular traffic,</w:t>
      </w:r>
      <w:r w:rsidRPr="003D3BB7">
        <w:rPr>
          <w:rFonts w:cs="Arial"/>
          <w:color w:val="494949"/>
          <w:sz w:val="18"/>
          <w:szCs w:val="18"/>
          <w:lang w:val="en"/>
        </w:rPr>
        <w:t xml:space="preserve"> </w:t>
      </w:r>
    </w:p>
    <w:p w:rsidR="00DB3BAC" w:rsidRPr="003D3BB7" w:rsidRDefault="00DB3BAC" w:rsidP="00DB3BAC">
      <w:pPr>
        <w:shd w:val="clear" w:color="auto" w:fill="FFFFFF"/>
        <w:spacing w:after="120" w:line="360" w:lineRule="atLeast"/>
        <w:jc w:val="both"/>
        <w:rPr>
          <w:rFonts w:cs="Arial"/>
          <w:color w:val="494949"/>
          <w:sz w:val="18"/>
          <w:szCs w:val="18"/>
          <w:lang w:val="en"/>
        </w:rPr>
      </w:pPr>
      <w:proofErr w:type="gramStart"/>
      <w:r w:rsidRPr="003D3BB7">
        <w:rPr>
          <w:rFonts w:cs="Arial"/>
          <w:color w:val="494949"/>
          <w:sz w:val="18"/>
          <w:szCs w:val="18"/>
          <w:lang w:val="en"/>
        </w:rPr>
        <w:t>unless</w:t>
      </w:r>
      <w:proofErr w:type="gramEnd"/>
      <w:r w:rsidRPr="003D3BB7">
        <w:rPr>
          <w:rFonts w:cs="Arial"/>
          <w:color w:val="494949"/>
          <w:sz w:val="18"/>
          <w:szCs w:val="18"/>
          <w:lang w:val="en"/>
        </w:rPr>
        <w:t xml:space="preserve"> the prior approval of the appropriate authority to the detailed plans and specifications is first obtained. </w:t>
      </w:r>
    </w:p>
    <w:p w:rsidR="00DB3BAC" w:rsidRPr="003D3BB7" w:rsidRDefault="00DB3BAC" w:rsidP="00DB3BAC">
      <w:pPr>
        <w:shd w:val="clear" w:color="auto" w:fill="FFFFFF"/>
        <w:spacing w:after="120" w:line="288" w:lineRule="atLeast"/>
        <w:jc w:val="both"/>
        <w:outlineLvl w:val="5"/>
        <w:rPr>
          <w:rFonts w:cs="Arial"/>
          <w:b/>
          <w:bCs/>
          <w:color w:val="000000"/>
          <w:sz w:val="18"/>
          <w:szCs w:val="18"/>
          <w:lang w:val="en"/>
        </w:rPr>
      </w:pPr>
      <w:r>
        <w:rPr>
          <w:rFonts w:cs="Arial"/>
          <w:b/>
          <w:bCs/>
          <w:color w:val="000000"/>
          <w:sz w:val="18"/>
          <w:szCs w:val="18"/>
          <w:lang w:val="en"/>
        </w:rPr>
        <w:t xml:space="preserve">A.2 </w:t>
      </w:r>
      <w:r w:rsidRPr="003D3BB7">
        <w:rPr>
          <w:rFonts w:cs="Arial"/>
          <w:b/>
          <w:bCs/>
          <w:color w:val="000000"/>
          <w:sz w:val="18"/>
          <w:szCs w:val="18"/>
          <w:lang w:val="en"/>
        </w:rPr>
        <w:t>Prior approvals</w:t>
      </w:r>
    </w:p>
    <w:p w:rsidR="00DB3BAC" w:rsidRPr="003D3BB7" w:rsidRDefault="00DB3BAC" w:rsidP="00DB3BAC">
      <w:pPr>
        <w:shd w:val="clear" w:color="auto" w:fill="FFFFFF"/>
        <w:spacing w:after="120" w:line="360" w:lineRule="atLeast"/>
        <w:jc w:val="both"/>
        <w:rPr>
          <w:rFonts w:cs="Arial"/>
          <w:color w:val="494949"/>
          <w:sz w:val="18"/>
          <w:szCs w:val="18"/>
          <w:lang w:val="en"/>
        </w:rPr>
      </w:pPr>
      <w:r w:rsidRPr="003D3BB7">
        <w:rPr>
          <w:rFonts w:cs="Arial"/>
          <w:color w:val="494949"/>
          <w:sz w:val="18"/>
          <w:szCs w:val="18"/>
          <w:lang w:val="en"/>
        </w:rPr>
        <w:t xml:space="preserve">The prior </w:t>
      </w:r>
      <w:proofErr w:type="gramStart"/>
      <w:r w:rsidRPr="003D3BB7">
        <w:rPr>
          <w:rFonts w:cs="Arial"/>
          <w:color w:val="494949"/>
          <w:sz w:val="18"/>
          <w:szCs w:val="18"/>
          <w:lang w:val="en"/>
        </w:rPr>
        <w:t>approval referred to in paragraph A.1 is not to be refused by the appropriate authority nor are</w:t>
      </w:r>
      <w:proofErr w:type="gramEnd"/>
      <w:r w:rsidRPr="003D3BB7">
        <w:rPr>
          <w:rFonts w:cs="Arial"/>
          <w:color w:val="494949"/>
          <w:sz w:val="18"/>
          <w:szCs w:val="18"/>
          <w:lang w:val="en"/>
        </w:rPr>
        <w:t xml:space="preserve"> conditions to be imposed unless they are satisfied that— </w:t>
      </w:r>
    </w:p>
    <w:p w:rsidR="00DB3BAC" w:rsidRPr="003D3BB7" w:rsidRDefault="00DB3BAC" w:rsidP="00DB3BAC">
      <w:pPr>
        <w:shd w:val="clear" w:color="auto" w:fill="FFFFFF"/>
        <w:spacing w:after="120" w:line="360" w:lineRule="atLeast"/>
        <w:ind w:left="720"/>
        <w:rPr>
          <w:rFonts w:cs="Arial"/>
          <w:color w:val="494949"/>
          <w:sz w:val="18"/>
          <w:szCs w:val="18"/>
          <w:lang w:val="en"/>
        </w:rPr>
      </w:pPr>
      <w:r w:rsidRPr="003D3BB7">
        <w:rPr>
          <w:rFonts w:cs="Arial"/>
          <w:color w:val="494949"/>
          <w:sz w:val="18"/>
          <w:lang w:val="en"/>
        </w:rPr>
        <w:t>(a)</w:t>
      </w:r>
      <w:r>
        <w:rPr>
          <w:rFonts w:cs="Arial"/>
          <w:color w:val="494949"/>
          <w:sz w:val="18"/>
          <w:lang w:val="en"/>
        </w:rPr>
        <w:t xml:space="preserve"> </w:t>
      </w:r>
      <w:proofErr w:type="gramStart"/>
      <w:r w:rsidRPr="003D3BB7">
        <w:rPr>
          <w:rFonts w:cs="Arial"/>
          <w:color w:val="494949"/>
          <w:sz w:val="18"/>
          <w:lang w:val="en"/>
        </w:rPr>
        <w:t>the</w:t>
      </w:r>
      <w:proofErr w:type="gramEnd"/>
      <w:r w:rsidRPr="003D3BB7">
        <w:rPr>
          <w:rFonts w:cs="Arial"/>
          <w:color w:val="494949"/>
          <w:sz w:val="18"/>
          <w:lang w:val="en"/>
        </w:rPr>
        <w:t xml:space="preserve"> development (other than the provision of or works carried out to a dam) ought to be and could reasonably be carried out elsewhere on the land; or</w:t>
      </w:r>
      <w:r w:rsidRPr="003D3BB7">
        <w:rPr>
          <w:rFonts w:cs="Arial"/>
          <w:color w:val="494949"/>
          <w:sz w:val="18"/>
          <w:szCs w:val="18"/>
          <w:lang w:val="en"/>
        </w:rPr>
        <w:t xml:space="preserve"> </w:t>
      </w:r>
    </w:p>
    <w:p w:rsidR="00DB3BAC" w:rsidRPr="003D3BB7" w:rsidRDefault="00DB3BAC" w:rsidP="00DB3BAC">
      <w:pPr>
        <w:shd w:val="clear" w:color="auto" w:fill="FFFFFF"/>
        <w:spacing w:after="120" w:line="360" w:lineRule="atLeast"/>
        <w:ind w:left="720"/>
        <w:rPr>
          <w:rFonts w:cs="Arial"/>
          <w:color w:val="494949"/>
          <w:sz w:val="18"/>
          <w:szCs w:val="18"/>
          <w:lang w:val="en"/>
        </w:rPr>
      </w:pPr>
      <w:r w:rsidRPr="003D3BB7">
        <w:rPr>
          <w:rFonts w:cs="Arial"/>
          <w:color w:val="494949"/>
          <w:sz w:val="18"/>
          <w:lang w:val="en"/>
        </w:rPr>
        <w:t>(b)</w:t>
      </w:r>
      <w:r>
        <w:rPr>
          <w:rFonts w:cs="Arial"/>
          <w:color w:val="494949"/>
          <w:sz w:val="18"/>
          <w:lang w:val="en"/>
        </w:rPr>
        <w:t xml:space="preserve"> </w:t>
      </w:r>
      <w:proofErr w:type="gramStart"/>
      <w:r w:rsidRPr="003D3BB7">
        <w:rPr>
          <w:rFonts w:cs="Arial"/>
          <w:color w:val="494949"/>
          <w:sz w:val="18"/>
          <w:lang w:val="en"/>
        </w:rPr>
        <w:t>the</w:t>
      </w:r>
      <w:proofErr w:type="gramEnd"/>
      <w:r w:rsidRPr="003D3BB7">
        <w:rPr>
          <w:rFonts w:cs="Arial"/>
          <w:color w:val="494949"/>
          <w:sz w:val="18"/>
          <w:lang w:val="en"/>
        </w:rPr>
        <w:t xml:space="preserve"> design or external appearance of any building, bridge, aqueduct, pier or dam would injure the amenity of the neighbourhood and is reasonably capable of modification to avoid such injury.</w:t>
      </w:r>
      <w:r w:rsidRPr="003D3BB7">
        <w:rPr>
          <w:rFonts w:cs="Arial"/>
          <w:color w:val="494949"/>
          <w:sz w:val="18"/>
          <w:szCs w:val="18"/>
          <w:lang w:val="en"/>
        </w:rPr>
        <w:t xml:space="preserve"> </w:t>
      </w:r>
    </w:p>
    <w:p w:rsidR="00DB3BAC" w:rsidRPr="003D3BB7" w:rsidRDefault="00DB3BAC" w:rsidP="00DB3BAC">
      <w:pPr>
        <w:shd w:val="clear" w:color="auto" w:fill="FFFFFF"/>
        <w:spacing w:after="120" w:line="288" w:lineRule="atLeast"/>
        <w:jc w:val="both"/>
        <w:outlineLvl w:val="5"/>
        <w:rPr>
          <w:rFonts w:cs="Arial"/>
          <w:b/>
          <w:bCs/>
          <w:color w:val="000000"/>
          <w:sz w:val="18"/>
          <w:szCs w:val="18"/>
          <w:lang w:val="en"/>
        </w:rPr>
      </w:pPr>
      <w:r>
        <w:rPr>
          <w:rFonts w:cs="Arial"/>
          <w:b/>
          <w:bCs/>
          <w:color w:val="000000"/>
          <w:sz w:val="18"/>
          <w:szCs w:val="18"/>
          <w:lang w:val="en"/>
        </w:rPr>
        <w:t xml:space="preserve">A. </w:t>
      </w:r>
      <w:proofErr w:type="gramStart"/>
      <w:r>
        <w:rPr>
          <w:rFonts w:cs="Arial"/>
          <w:b/>
          <w:bCs/>
          <w:color w:val="000000"/>
          <w:sz w:val="18"/>
          <w:szCs w:val="18"/>
          <w:lang w:val="en"/>
        </w:rPr>
        <w:t xml:space="preserve">3 </w:t>
      </w:r>
      <w:r w:rsidRPr="003D3BB7">
        <w:rPr>
          <w:rFonts w:cs="Arial"/>
          <w:b/>
          <w:bCs/>
          <w:color w:val="000000"/>
          <w:sz w:val="18"/>
          <w:szCs w:val="18"/>
          <w:lang w:val="en"/>
        </w:rPr>
        <w:t> Interpretation</w:t>
      </w:r>
      <w:proofErr w:type="gramEnd"/>
      <w:r w:rsidRPr="003D3BB7">
        <w:rPr>
          <w:rFonts w:cs="Arial"/>
          <w:b/>
          <w:bCs/>
          <w:color w:val="000000"/>
          <w:sz w:val="18"/>
          <w:szCs w:val="18"/>
          <w:lang w:val="en"/>
        </w:rPr>
        <w:t xml:space="preserve"> of Class A</w:t>
      </w:r>
    </w:p>
    <w:p w:rsidR="00DB3BAC" w:rsidRPr="003D3BB7" w:rsidRDefault="00DB3BAC" w:rsidP="00DB3BAC">
      <w:pPr>
        <w:shd w:val="clear" w:color="auto" w:fill="FFFFFF"/>
        <w:spacing w:after="120" w:line="360" w:lineRule="atLeast"/>
        <w:jc w:val="both"/>
        <w:rPr>
          <w:rFonts w:cs="Arial"/>
          <w:color w:val="494949"/>
          <w:sz w:val="18"/>
          <w:szCs w:val="18"/>
          <w:lang w:val="en"/>
        </w:rPr>
      </w:pPr>
      <w:r w:rsidRPr="003D3BB7">
        <w:rPr>
          <w:rFonts w:cs="Arial"/>
          <w:color w:val="494949"/>
          <w:sz w:val="18"/>
          <w:szCs w:val="18"/>
          <w:lang w:val="en"/>
        </w:rPr>
        <w:t xml:space="preserve">In Class A, “appropriate authority” means— </w:t>
      </w:r>
    </w:p>
    <w:p w:rsidR="00DB3BAC" w:rsidRPr="003D3BB7" w:rsidRDefault="00DB3BAC" w:rsidP="00DB3BAC">
      <w:pPr>
        <w:shd w:val="clear" w:color="auto" w:fill="FFFFFF"/>
        <w:spacing w:after="120" w:line="360" w:lineRule="atLeast"/>
        <w:ind w:firstLine="720"/>
        <w:rPr>
          <w:rFonts w:cs="Arial"/>
          <w:color w:val="494949"/>
          <w:sz w:val="18"/>
          <w:szCs w:val="18"/>
          <w:lang w:val="en"/>
        </w:rPr>
      </w:pPr>
      <w:r w:rsidRPr="003D3BB7">
        <w:rPr>
          <w:rFonts w:cs="Arial"/>
          <w:color w:val="494949"/>
          <w:sz w:val="18"/>
          <w:lang w:val="en"/>
        </w:rPr>
        <w:t>(a)</w:t>
      </w:r>
      <w:r>
        <w:rPr>
          <w:rFonts w:cs="Arial"/>
          <w:color w:val="494949"/>
          <w:sz w:val="18"/>
          <w:lang w:val="en"/>
        </w:rPr>
        <w:t xml:space="preserve"> </w:t>
      </w:r>
      <w:proofErr w:type="gramStart"/>
      <w:r w:rsidRPr="003D3BB7">
        <w:rPr>
          <w:rFonts w:cs="Arial"/>
          <w:color w:val="494949"/>
          <w:sz w:val="18"/>
          <w:lang w:val="en"/>
        </w:rPr>
        <w:t>in</w:t>
      </w:r>
      <w:proofErr w:type="gramEnd"/>
      <w:r w:rsidRPr="003D3BB7">
        <w:rPr>
          <w:rFonts w:cs="Arial"/>
          <w:color w:val="494949"/>
          <w:sz w:val="18"/>
          <w:lang w:val="en"/>
        </w:rPr>
        <w:t xml:space="preserve"> Greater London or a metropolitan county, the local planning authority,</w:t>
      </w:r>
      <w:r w:rsidRPr="003D3BB7">
        <w:rPr>
          <w:rFonts w:cs="Arial"/>
          <w:color w:val="494949"/>
          <w:sz w:val="18"/>
          <w:szCs w:val="18"/>
          <w:lang w:val="en"/>
        </w:rPr>
        <w:t xml:space="preserve"> </w:t>
      </w:r>
    </w:p>
    <w:p w:rsidR="00DB3BAC" w:rsidRPr="003D3BB7" w:rsidRDefault="00DB3BAC" w:rsidP="00DB3BAC">
      <w:pPr>
        <w:shd w:val="clear" w:color="auto" w:fill="FFFFFF"/>
        <w:spacing w:after="120" w:line="360" w:lineRule="atLeast"/>
        <w:ind w:firstLine="720"/>
        <w:rPr>
          <w:rFonts w:cs="Arial"/>
          <w:color w:val="494949"/>
          <w:sz w:val="18"/>
          <w:szCs w:val="18"/>
          <w:lang w:val="en"/>
        </w:rPr>
      </w:pPr>
      <w:r w:rsidRPr="003D3BB7">
        <w:rPr>
          <w:rFonts w:cs="Arial"/>
          <w:color w:val="494949"/>
          <w:sz w:val="18"/>
          <w:lang w:val="en"/>
        </w:rPr>
        <w:t>(b)</w:t>
      </w:r>
      <w:r>
        <w:rPr>
          <w:rFonts w:cs="Arial"/>
          <w:color w:val="494949"/>
          <w:sz w:val="18"/>
          <w:lang w:val="en"/>
        </w:rPr>
        <w:t xml:space="preserve"> </w:t>
      </w:r>
      <w:proofErr w:type="gramStart"/>
      <w:r w:rsidRPr="003D3BB7">
        <w:rPr>
          <w:rFonts w:cs="Arial"/>
          <w:color w:val="494949"/>
          <w:sz w:val="18"/>
          <w:lang w:val="en"/>
        </w:rPr>
        <w:t>in</w:t>
      </w:r>
      <w:proofErr w:type="gramEnd"/>
      <w:r w:rsidRPr="003D3BB7">
        <w:rPr>
          <w:rFonts w:cs="Arial"/>
          <w:color w:val="494949"/>
          <w:sz w:val="18"/>
          <w:lang w:val="en"/>
        </w:rPr>
        <w:t xml:space="preserve"> a National Park, outside a metropolitan county, the county planning authority,</w:t>
      </w:r>
      <w:r w:rsidRPr="003D3BB7">
        <w:rPr>
          <w:rFonts w:cs="Arial"/>
          <w:color w:val="494949"/>
          <w:sz w:val="18"/>
          <w:szCs w:val="18"/>
          <w:lang w:val="en"/>
        </w:rPr>
        <w:t xml:space="preserve"> </w:t>
      </w:r>
    </w:p>
    <w:p w:rsidR="00DB3BAC" w:rsidRPr="003D3BB7" w:rsidRDefault="00DB3BAC" w:rsidP="00DB3BAC">
      <w:pPr>
        <w:shd w:val="clear" w:color="auto" w:fill="FFFFFF"/>
        <w:spacing w:after="120" w:line="360" w:lineRule="atLeast"/>
        <w:ind w:firstLine="720"/>
        <w:rPr>
          <w:rFonts w:cs="Arial"/>
          <w:color w:val="494949"/>
          <w:sz w:val="18"/>
          <w:szCs w:val="18"/>
          <w:lang w:val="en"/>
        </w:rPr>
      </w:pPr>
      <w:r w:rsidRPr="003D3BB7">
        <w:rPr>
          <w:rFonts w:cs="Arial"/>
          <w:color w:val="494949"/>
          <w:sz w:val="18"/>
          <w:lang w:val="en"/>
        </w:rPr>
        <w:t>(c)</w:t>
      </w:r>
      <w:r>
        <w:rPr>
          <w:rFonts w:cs="Arial"/>
          <w:color w:val="494949"/>
          <w:sz w:val="18"/>
          <w:lang w:val="en"/>
        </w:rPr>
        <w:t xml:space="preserve"> </w:t>
      </w:r>
      <w:proofErr w:type="gramStart"/>
      <w:r w:rsidRPr="003D3BB7">
        <w:rPr>
          <w:rFonts w:cs="Arial"/>
          <w:color w:val="494949"/>
          <w:sz w:val="18"/>
          <w:lang w:val="en"/>
        </w:rPr>
        <w:t>in</w:t>
      </w:r>
      <w:proofErr w:type="gramEnd"/>
      <w:r w:rsidRPr="003D3BB7">
        <w:rPr>
          <w:rFonts w:cs="Arial"/>
          <w:color w:val="494949"/>
          <w:sz w:val="18"/>
          <w:lang w:val="en"/>
        </w:rPr>
        <w:t xml:space="preserve"> any other case, the district planning authority(</w:t>
      </w:r>
      <w:hyperlink r:id="rId17" w:anchor="f00031#f00031" w:tooltip="Go to footnote 3" w:history="1">
        <w:r w:rsidRPr="003D3BB7">
          <w:rPr>
            <w:rFonts w:cs="Arial"/>
            <w:b/>
            <w:bCs/>
            <w:color w:val="006699"/>
            <w:sz w:val="18"/>
            <w:lang w:val="en"/>
          </w:rPr>
          <w:t>3</w:t>
        </w:r>
      </w:hyperlink>
      <w:r w:rsidRPr="003D3BB7">
        <w:rPr>
          <w:rFonts w:cs="Arial"/>
          <w:color w:val="494949"/>
          <w:sz w:val="18"/>
          <w:lang w:val="en"/>
        </w:rPr>
        <w:t>).</w:t>
      </w:r>
      <w:r w:rsidRPr="003D3BB7">
        <w:rPr>
          <w:rFonts w:cs="Arial"/>
          <w:color w:val="494949"/>
          <w:sz w:val="18"/>
          <w:szCs w:val="18"/>
          <w:lang w:val="en"/>
        </w:rPr>
        <w:t xml:space="preserve"> </w:t>
      </w:r>
    </w:p>
    <w:p w:rsidR="00DB3BAC" w:rsidRDefault="00DB3BAC" w:rsidP="00DB3BAC"/>
    <w:p w:rsidR="00FB4B96" w:rsidRPr="00812F37" w:rsidRDefault="00812F37">
      <w:pPr>
        <w:pStyle w:val="Footer"/>
        <w:tabs>
          <w:tab w:val="clear" w:pos="4153"/>
          <w:tab w:val="clear" w:pos="8306"/>
        </w:tabs>
        <w:rPr>
          <w:rFonts w:cs="Arial"/>
          <w:b/>
          <w:sz w:val="32"/>
          <w:szCs w:val="32"/>
        </w:rPr>
      </w:pPr>
      <w:r>
        <w:rPr>
          <w:rFonts w:cs="Arial"/>
        </w:rPr>
        <w:br w:type="page"/>
      </w:r>
      <w:r w:rsidR="00F90A3B">
        <w:rPr>
          <w:rFonts w:cs="Arial"/>
          <w:b/>
          <w:sz w:val="32"/>
          <w:szCs w:val="32"/>
        </w:rPr>
        <w:lastRenderedPageBreak/>
        <w:t xml:space="preserve">Appendix </w:t>
      </w:r>
      <w:r w:rsidR="005867B1">
        <w:rPr>
          <w:rFonts w:cs="Arial"/>
          <w:b/>
          <w:sz w:val="32"/>
          <w:szCs w:val="32"/>
        </w:rPr>
        <w:t>D</w:t>
      </w:r>
    </w:p>
    <w:p w:rsidR="00812F37" w:rsidRDefault="003301E0">
      <w:pPr>
        <w:pStyle w:val="Footer"/>
        <w:tabs>
          <w:tab w:val="clear" w:pos="4153"/>
          <w:tab w:val="clear" w:pos="8306"/>
        </w:tabs>
        <w:rPr>
          <w:noProof/>
          <w:lang w:eastAsia="en-GB"/>
        </w:rPr>
      </w:pPr>
      <w:r>
        <w:rPr>
          <w:noProof/>
          <w:lang w:eastAsia="en-GB"/>
        </w:rPr>
        <w:drawing>
          <wp:inline distT="0" distB="0" distL="0" distR="0">
            <wp:extent cx="5589905" cy="822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9905" cy="8229600"/>
                    </a:xfrm>
                    <a:prstGeom prst="rect">
                      <a:avLst/>
                    </a:prstGeom>
                    <a:noFill/>
                    <a:ln>
                      <a:noFill/>
                    </a:ln>
                  </pic:spPr>
                </pic:pic>
              </a:graphicData>
            </a:graphic>
          </wp:inline>
        </w:drawing>
      </w:r>
    </w:p>
    <w:p w:rsidR="00812F37" w:rsidRDefault="003301E0">
      <w:pPr>
        <w:pStyle w:val="Footer"/>
        <w:tabs>
          <w:tab w:val="clear" w:pos="4153"/>
          <w:tab w:val="clear" w:pos="8306"/>
        </w:tabs>
        <w:rPr>
          <w:noProof/>
          <w:lang w:eastAsia="en-GB"/>
        </w:rPr>
      </w:pPr>
      <w:r>
        <w:rPr>
          <w:noProof/>
          <w:lang w:eastAsia="en-GB"/>
        </w:rPr>
        <w:lastRenderedPageBreak/>
        <w:drawing>
          <wp:inline distT="0" distB="0" distL="0" distR="0">
            <wp:extent cx="5351145" cy="7696835"/>
            <wp:effectExtent l="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1145" cy="7696835"/>
                    </a:xfrm>
                    <a:prstGeom prst="rect">
                      <a:avLst/>
                    </a:prstGeom>
                    <a:noFill/>
                    <a:ln>
                      <a:noFill/>
                    </a:ln>
                  </pic:spPr>
                </pic:pic>
              </a:graphicData>
            </a:graphic>
          </wp:inline>
        </w:drawing>
      </w:r>
    </w:p>
    <w:p w:rsidR="00812F37" w:rsidRPr="00D70C7A" w:rsidRDefault="00812F37">
      <w:pPr>
        <w:pStyle w:val="Footer"/>
        <w:tabs>
          <w:tab w:val="clear" w:pos="4153"/>
          <w:tab w:val="clear" w:pos="8306"/>
        </w:tabs>
        <w:rPr>
          <w:rFonts w:cs="Arial"/>
        </w:rPr>
      </w:pPr>
    </w:p>
    <w:sectPr w:rsidR="00812F37" w:rsidRPr="00D70C7A" w:rsidSect="00D714DF">
      <w:footerReference w:type="even" r:id="rId20"/>
      <w:footerReference w:type="default" r:id="rId21"/>
      <w:headerReference w:type="first" r:id="rId22"/>
      <w:pgSz w:w="11906" w:h="16838" w:code="9"/>
      <w:pgMar w:top="899" w:right="1440" w:bottom="71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3D" w:rsidRDefault="0019393D">
      <w:r>
        <w:separator/>
      </w:r>
    </w:p>
  </w:endnote>
  <w:endnote w:type="continuationSeparator" w:id="0">
    <w:p w:rsidR="0019393D" w:rsidRDefault="0019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DD" w:rsidRDefault="00156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4DD" w:rsidRDefault="001564DD">
    <w:pPr>
      <w:pStyle w:val="Footer"/>
    </w:pPr>
  </w:p>
  <w:p w:rsidR="001564DD" w:rsidRDefault="001564DD"/>
  <w:p w:rsidR="001564DD" w:rsidRDefault="001564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DD" w:rsidRDefault="001564DD">
    <w:pPr>
      <w:pStyle w:val="Footer"/>
    </w:pPr>
  </w:p>
  <w:p w:rsidR="001564DD" w:rsidRDefault="001564DD"/>
  <w:p w:rsidR="001564DD" w:rsidRDefault="001564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3D" w:rsidRDefault="0019393D">
      <w:r>
        <w:separator/>
      </w:r>
    </w:p>
  </w:footnote>
  <w:footnote w:type="continuationSeparator" w:id="0">
    <w:p w:rsidR="0019393D" w:rsidRDefault="00193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DD" w:rsidRDefault="003301E0">
    <w:pPr>
      <w:pStyle w:val="Heade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-506095</wp:posOffset>
              </wp:positionH>
              <wp:positionV relativeFrom="paragraph">
                <wp:posOffset>-141605</wp:posOffset>
              </wp:positionV>
              <wp:extent cx="6781800" cy="9758045"/>
              <wp:effectExtent l="0" t="127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75804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4DD" w:rsidRDefault="003301E0">
                          <w:r>
                            <w:rPr>
                              <w:noProof/>
                              <w:lang w:eastAsia="en-GB"/>
                            </w:rPr>
                            <w:drawing>
                              <wp:inline distT="0" distB="0" distL="0" distR="0">
                                <wp:extent cx="6599555" cy="9660890"/>
                                <wp:effectExtent l="0" t="0" r="0" b="0"/>
                                <wp:docPr id="2" name="Picture 1" descr="A4 (A5-A3) portrait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5-A3) portrait 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9660890"/>
                                        </a:xfrm>
                                        <a:prstGeom prst="rect">
                                          <a:avLst/>
                                        </a:prstGeom>
                                        <a:noFill/>
                                        <a:ln>
                                          <a:noFill/>
                                        </a:ln>
                                      </pic:spPr>
                                    </pic:pic>
                                  </a:graphicData>
                                </a:graphic>
                              </wp:inline>
                            </w:drawing>
                          </w:r>
                          <w:r>
                            <w:rPr>
                              <w:noProof/>
                              <w:lang w:eastAsia="en-GB"/>
                            </w:rPr>
                            <w:drawing>
                              <wp:inline distT="0" distB="0" distL="0" distR="0">
                                <wp:extent cx="6599555" cy="9660890"/>
                                <wp:effectExtent l="0" t="0" r="0" b="0"/>
                                <wp:docPr id="5" name="Picture 5" descr="A4 (A5-A3) portrait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A5-A3) portrait 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9660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85pt;margin-top:-11.15pt;width:534pt;height:76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oS7wIAAHsGAAAOAAAAZHJzL2Uyb0RvYy54bWysVWtv0zAU/Y7Ef7D8PUvSOk8tm9q0QUjj&#10;IQ1+gJs4jUViB9tbOhD/nWun27oBEmLkg+XH9fE595Xzy8PQo1umNJeiwOFZgBETtWy42Bf486fK&#10;SzHShoqG9lKwAt8xjS8vXr86n8acLWQn+4YpBCBC59NY4M6YMfd9XXdsoPpMjkzAYSvVQA0s1d5v&#10;FJ0Afej9RRDE/iRVMypZM61hdzMf4guH37asNh/aVjOD+gIDN+NG5cadHf2Lc5rvFR07Xh9p0H9g&#10;MVAu4NEHqA01FN0o/gvUwGsltWzNWS0HX7Ytr5nTAGrC4Jma646OzGkB5+jxwU36/8HW728/KsQb&#10;iB1Ggg4Qok/sYNBaHlBovTONOgej6xHMzAG2raVVqscrWX/RSMiyo2LPVkrJqWO0AXbupn9ydcbR&#10;FmQ3vZMNPENvjHRAh1YNFhCcgQAdonT3EBlLpYbNOEnDNICjGs6yJEoDEll2Ps3vr49KmzdMDshO&#10;Cqwg9A6e3l5pM5vem9jXhKx437vw9+LJBmDOO8zlz3yb5kAFptbSknKx/Z4F2TbdpsQji3jrkWCz&#10;8VZVSby4CpNos9yU5Sb8YVmEJO940zBhH73Ps5D8XRyPGT9nyEOmadnzxsJZSlrtd2Wv0C2FPF/G&#10;yzJbHN1zYuY/peG8B1qeSQoXJFgvMq+K08QjFYm8LAlSLwizdRYHJCOb6qmkKy7YyyWhCQIbLaI5&#10;t/6oLXDfr9poPnADnaTnQ4EhU+CzRjS3GbkVjZsbyvt5fuIKS//3rlhVUZCQZeolSbT0yHIbeOu0&#10;Kr1VGcZxsl2X6+2z6G5dxuiXe8PF5CT9Tvge33ikDPl6n5uu5GyVzfVmDrsDCLd1uJPNHRSfklAa&#10;UEbQsWHSSfUNowm6X4H11xuqGEb9WwEFnIWE2HbpFiRKFrBQpye70xMqaoAqsMFonpZmbrE3o+L7&#10;Dl6aW4aQKyj6lrtyfGQFUuwCOpwTdezGtoWerp3V4z/j4icAAAD//wMAUEsDBBQABgAIAAAAIQDg&#10;mc1n4gAAAAwBAAAPAAAAZHJzL2Rvd25yZXYueG1sTI/BTsMwDIbvSLxDZCQuaEtbNtaWphMgpklc&#10;ENseIGtNU2icqsm6wtNjTnD7LX/6/blYT7YTIw6+daQgnkcgkCpXt9QoOOw3sxSED5pq3TlCBV/o&#10;YV1eXhQ6r92Z3nDchUZwCflcKzAh9LmUvjJotZ+7Hol3726wOvA4NLIe9JnLbSeTKLqTVrfEF4zu&#10;8clg9bk7WQXbZvww1fd4k7Wbl9fpeUlx9LhV6vpqergHEXAKfzD86rM6lOx0dCeqvegUzFbZilEO&#10;SXILgoksTTkcGV3GiwXIspD/nyh/AAAA//8DAFBLAQItABQABgAIAAAAIQC2gziS/gAAAOEBAAAT&#10;AAAAAAAAAAAAAAAAAAAAAABbQ29udGVudF9UeXBlc10ueG1sUEsBAi0AFAAGAAgAAAAhADj9If/W&#10;AAAAlAEAAAsAAAAAAAAAAAAAAAAALwEAAF9yZWxzLy5yZWxzUEsBAi0AFAAGAAgAAAAhAHcbShLv&#10;AgAAewYAAA4AAAAAAAAAAAAAAAAALgIAAGRycy9lMm9Eb2MueG1sUEsBAi0AFAAGAAgAAAAhAOCZ&#10;zWfiAAAADAEAAA8AAAAAAAAAAAAAAAAASQUAAGRycy9kb3ducmV2LnhtbFBLBQYAAAAABAAEAPMA&#10;AABYBgAAAAA=&#10;" filled="f" fillcolor="#363c92" stroked="f">
              <v:textbox>
                <w:txbxContent>
                  <w:p w:rsidR="001564DD" w:rsidRDefault="003301E0">
                    <w:r>
                      <w:rPr>
                        <w:noProof/>
                        <w:lang w:eastAsia="en-GB"/>
                      </w:rPr>
                      <w:drawing>
                        <wp:inline distT="0" distB="0" distL="0" distR="0">
                          <wp:extent cx="6599555" cy="9660890"/>
                          <wp:effectExtent l="0" t="0" r="0" b="0"/>
                          <wp:docPr id="2" name="Picture 1" descr="A4 (A5-A3) portrait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5-A3) portrait b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9555" cy="9660890"/>
                                  </a:xfrm>
                                  <a:prstGeom prst="rect">
                                    <a:avLst/>
                                  </a:prstGeom>
                                  <a:noFill/>
                                  <a:ln>
                                    <a:noFill/>
                                  </a:ln>
                                </pic:spPr>
                              </pic:pic>
                            </a:graphicData>
                          </a:graphic>
                        </wp:inline>
                      </w:drawing>
                    </w:r>
                    <w:r>
                      <w:rPr>
                        <w:noProof/>
                        <w:lang w:eastAsia="en-GB"/>
                      </w:rPr>
                      <w:drawing>
                        <wp:inline distT="0" distB="0" distL="0" distR="0">
                          <wp:extent cx="6599555" cy="9660890"/>
                          <wp:effectExtent l="0" t="0" r="0" b="0"/>
                          <wp:docPr id="5" name="Picture 5" descr="A4 (A5-A3) portrait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A5-A3) portrait b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9555" cy="966089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6A5"/>
    <w:multiLevelType w:val="hybridMultilevel"/>
    <w:tmpl w:val="57084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45A1D"/>
    <w:multiLevelType w:val="hybridMultilevel"/>
    <w:tmpl w:val="A59E4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360947"/>
    <w:multiLevelType w:val="hybridMultilevel"/>
    <w:tmpl w:val="52E6A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E12252"/>
    <w:multiLevelType w:val="hybridMultilevel"/>
    <w:tmpl w:val="C452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E117C"/>
    <w:multiLevelType w:val="hybridMultilevel"/>
    <w:tmpl w:val="E20A5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941529"/>
    <w:multiLevelType w:val="hybridMultilevel"/>
    <w:tmpl w:val="E23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864DB"/>
    <w:multiLevelType w:val="hybridMultilevel"/>
    <w:tmpl w:val="08A2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5D773C"/>
    <w:multiLevelType w:val="hybridMultilevel"/>
    <w:tmpl w:val="1F02E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4831AE9"/>
    <w:multiLevelType w:val="hybridMultilevel"/>
    <w:tmpl w:val="0A24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B06383"/>
    <w:multiLevelType w:val="hybridMultilevel"/>
    <w:tmpl w:val="B1F23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8EC2A6D"/>
    <w:multiLevelType w:val="hybridMultilevel"/>
    <w:tmpl w:val="AE9C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013FCC"/>
    <w:multiLevelType w:val="hybridMultilevel"/>
    <w:tmpl w:val="8AB2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69507E"/>
    <w:multiLevelType w:val="hybridMultilevel"/>
    <w:tmpl w:val="8E3E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9882A67"/>
    <w:multiLevelType w:val="hybridMultilevel"/>
    <w:tmpl w:val="E3D0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D95A4E"/>
    <w:multiLevelType w:val="hybridMultilevel"/>
    <w:tmpl w:val="48FE8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
  </w:num>
  <w:num w:numId="4">
    <w:abstractNumId w:val="9"/>
  </w:num>
  <w:num w:numId="5">
    <w:abstractNumId w:val="7"/>
  </w:num>
  <w:num w:numId="6">
    <w:abstractNumId w:val="14"/>
  </w:num>
  <w:num w:numId="7">
    <w:abstractNumId w:val="2"/>
  </w:num>
  <w:num w:numId="8">
    <w:abstractNumId w:val="11"/>
  </w:num>
  <w:num w:numId="9">
    <w:abstractNumId w:val="6"/>
  </w:num>
  <w:num w:numId="10">
    <w:abstractNumId w:val="3"/>
  </w:num>
  <w:num w:numId="11">
    <w:abstractNumId w:val="10"/>
  </w:num>
  <w:num w:numId="12">
    <w:abstractNumId w:val="0"/>
  </w:num>
  <w:num w:numId="13">
    <w:abstractNumId w:val="8"/>
  </w:num>
  <w:num w:numId="14">
    <w:abstractNumId w:val="5"/>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C0"/>
    <w:rsid w:val="00002D06"/>
    <w:rsid w:val="00011B04"/>
    <w:rsid w:val="00022B98"/>
    <w:rsid w:val="00026F1F"/>
    <w:rsid w:val="00036F60"/>
    <w:rsid w:val="00046E03"/>
    <w:rsid w:val="0005260D"/>
    <w:rsid w:val="00055E8E"/>
    <w:rsid w:val="00057A52"/>
    <w:rsid w:val="00062A86"/>
    <w:rsid w:val="00063350"/>
    <w:rsid w:val="00066EDE"/>
    <w:rsid w:val="00067DDD"/>
    <w:rsid w:val="0007497C"/>
    <w:rsid w:val="00090323"/>
    <w:rsid w:val="00095517"/>
    <w:rsid w:val="000A32DB"/>
    <w:rsid w:val="000B4A03"/>
    <w:rsid w:val="000B775D"/>
    <w:rsid w:val="000C0849"/>
    <w:rsid w:val="000C76FA"/>
    <w:rsid w:val="000D0C8A"/>
    <w:rsid w:val="000D1A5A"/>
    <w:rsid w:val="000F18FB"/>
    <w:rsid w:val="000F454B"/>
    <w:rsid w:val="000F5C7A"/>
    <w:rsid w:val="000F76FE"/>
    <w:rsid w:val="001001B3"/>
    <w:rsid w:val="0010090D"/>
    <w:rsid w:val="00100EE8"/>
    <w:rsid w:val="00101192"/>
    <w:rsid w:val="00113CB3"/>
    <w:rsid w:val="00122BCB"/>
    <w:rsid w:val="0012596D"/>
    <w:rsid w:val="001259AE"/>
    <w:rsid w:val="00125D4E"/>
    <w:rsid w:val="00134A0A"/>
    <w:rsid w:val="001416E5"/>
    <w:rsid w:val="00141AEA"/>
    <w:rsid w:val="00152F4A"/>
    <w:rsid w:val="00153880"/>
    <w:rsid w:val="00154768"/>
    <w:rsid w:val="001564DD"/>
    <w:rsid w:val="001569C2"/>
    <w:rsid w:val="00164309"/>
    <w:rsid w:val="0016718C"/>
    <w:rsid w:val="001849E0"/>
    <w:rsid w:val="0019393D"/>
    <w:rsid w:val="0019484A"/>
    <w:rsid w:val="00194D23"/>
    <w:rsid w:val="001A1647"/>
    <w:rsid w:val="001A4453"/>
    <w:rsid w:val="001A5DC7"/>
    <w:rsid w:val="001D553E"/>
    <w:rsid w:val="001E228D"/>
    <w:rsid w:val="001E3AF7"/>
    <w:rsid w:val="001E47E3"/>
    <w:rsid w:val="001E5D57"/>
    <w:rsid w:val="001E67FE"/>
    <w:rsid w:val="001F6BDA"/>
    <w:rsid w:val="002011B5"/>
    <w:rsid w:val="0021253C"/>
    <w:rsid w:val="00220880"/>
    <w:rsid w:val="00235AB0"/>
    <w:rsid w:val="00242366"/>
    <w:rsid w:val="00245813"/>
    <w:rsid w:val="00250E0D"/>
    <w:rsid w:val="00253F6E"/>
    <w:rsid w:val="002557BD"/>
    <w:rsid w:val="00257006"/>
    <w:rsid w:val="00262663"/>
    <w:rsid w:val="00273427"/>
    <w:rsid w:val="00273CE5"/>
    <w:rsid w:val="00274B98"/>
    <w:rsid w:val="00275282"/>
    <w:rsid w:val="0027541D"/>
    <w:rsid w:val="00292AD7"/>
    <w:rsid w:val="00296418"/>
    <w:rsid w:val="002A201A"/>
    <w:rsid w:val="002A45DA"/>
    <w:rsid w:val="002B23D1"/>
    <w:rsid w:val="002B6343"/>
    <w:rsid w:val="002C2FA5"/>
    <w:rsid w:val="002E3530"/>
    <w:rsid w:val="00301E50"/>
    <w:rsid w:val="00306B81"/>
    <w:rsid w:val="00307533"/>
    <w:rsid w:val="00310A0B"/>
    <w:rsid w:val="00311509"/>
    <w:rsid w:val="00311C9E"/>
    <w:rsid w:val="00311EE0"/>
    <w:rsid w:val="003160B3"/>
    <w:rsid w:val="00317D79"/>
    <w:rsid w:val="00320FB5"/>
    <w:rsid w:val="003227C5"/>
    <w:rsid w:val="003301E0"/>
    <w:rsid w:val="0033068D"/>
    <w:rsid w:val="00335922"/>
    <w:rsid w:val="00355232"/>
    <w:rsid w:val="0035610D"/>
    <w:rsid w:val="0035664A"/>
    <w:rsid w:val="003656C2"/>
    <w:rsid w:val="003814AD"/>
    <w:rsid w:val="00383AA4"/>
    <w:rsid w:val="00387594"/>
    <w:rsid w:val="003A35F5"/>
    <w:rsid w:val="003B1364"/>
    <w:rsid w:val="003B6F1E"/>
    <w:rsid w:val="003C584B"/>
    <w:rsid w:val="003C589C"/>
    <w:rsid w:val="003C7C7A"/>
    <w:rsid w:val="003D0044"/>
    <w:rsid w:val="003D0F50"/>
    <w:rsid w:val="003D3E9C"/>
    <w:rsid w:val="003D4389"/>
    <w:rsid w:val="003E28B9"/>
    <w:rsid w:val="003E6294"/>
    <w:rsid w:val="003E7969"/>
    <w:rsid w:val="003F68BC"/>
    <w:rsid w:val="003F7C2E"/>
    <w:rsid w:val="00402840"/>
    <w:rsid w:val="004055E8"/>
    <w:rsid w:val="00405E74"/>
    <w:rsid w:val="00410CC3"/>
    <w:rsid w:val="0042428D"/>
    <w:rsid w:val="00430BC9"/>
    <w:rsid w:val="0043755F"/>
    <w:rsid w:val="0044036B"/>
    <w:rsid w:val="0045481B"/>
    <w:rsid w:val="00457AD1"/>
    <w:rsid w:val="004656BC"/>
    <w:rsid w:val="0048286D"/>
    <w:rsid w:val="00490E10"/>
    <w:rsid w:val="004933C2"/>
    <w:rsid w:val="00497D1F"/>
    <w:rsid w:val="004A229A"/>
    <w:rsid w:val="004A3830"/>
    <w:rsid w:val="004C3BCE"/>
    <w:rsid w:val="004C5AB2"/>
    <w:rsid w:val="004E7F16"/>
    <w:rsid w:val="004F05E7"/>
    <w:rsid w:val="004F2690"/>
    <w:rsid w:val="004F760B"/>
    <w:rsid w:val="00504D43"/>
    <w:rsid w:val="005074D8"/>
    <w:rsid w:val="0052566D"/>
    <w:rsid w:val="005276A8"/>
    <w:rsid w:val="0053763A"/>
    <w:rsid w:val="005545A5"/>
    <w:rsid w:val="00560C08"/>
    <w:rsid w:val="00573C0A"/>
    <w:rsid w:val="005776CE"/>
    <w:rsid w:val="00581FC8"/>
    <w:rsid w:val="0058240B"/>
    <w:rsid w:val="00585FB7"/>
    <w:rsid w:val="005867B1"/>
    <w:rsid w:val="0059466A"/>
    <w:rsid w:val="00596924"/>
    <w:rsid w:val="005A6CB5"/>
    <w:rsid w:val="005A75B7"/>
    <w:rsid w:val="005A7C89"/>
    <w:rsid w:val="005B5295"/>
    <w:rsid w:val="005B7252"/>
    <w:rsid w:val="005C4B7B"/>
    <w:rsid w:val="005C6316"/>
    <w:rsid w:val="005D18B4"/>
    <w:rsid w:val="005E4723"/>
    <w:rsid w:val="005F5156"/>
    <w:rsid w:val="006018DE"/>
    <w:rsid w:val="00604AAF"/>
    <w:rsid w:val="006108DD"/>
    <w:rsid w:val="00610A9A"/>
    <w:rsid w:val="00613AFC"/>
    <w:rsid w:val="0061753A"/>
    <w:rsid w:val="00623316"/>
    <w:rsid w:val="00625111"/>
    <w:rsid w:val="0063235B"/>
    <w:rsid w:val="00633140"/>
    <w:rsid w:val="00640266"/>
    <w:rsid w:val="00641F9C"/>
    <w:rsid w:val="00646FC9"/>
    <w:rsid w:val="0065619C"/>
    <w:rsid w:val="00667CFC"/>
    <w:rsid w:val="006730FB"/>
    <w:rsid w:val="00677548"/>
    <w:rsid w:val="006836E4"/>
    <w:rsid w:val="006942AE"/>
    <w:rsid w:val="006A6249"/>
    <w:rsid w:val="006B0098"/>
    <w:rsid w:val="006B137C"/>
    <w:rsid w:val="006B167C"/>
    <w:rsid w:val="006B3390"/>
    <w:rsid w:val="006B61D5"/>
    <w:rsid w:val="006C3AE3"/>
    <w:rsid w:val="006C6C85"/>
    <w:rsid w:val="006E0D8C"/>
    <w:rsid w:val="006E360C"/>
    <w:rsid w:val="006F1CF9"/>
    <w:rsid w:val="006F3FC6"/>
    <w:rsid w:val="00700433"/>
    <w:rsid w:val="0070119F"/>
    <w:rsid w:val="00702149"/>
    <w:rsid w:val="007068EF"/>
    <w:rsid w:val="007158B7"/>
    <w:rsid w:val="00717B02"/>
    <w:rsid w:val="00723ED4"/>
    <w:rsid w:val="00743693"/>
    <w:rsid w:val="00743A24"/>
    <w:rsid w:val="00763337"/>
    <w:rsid w:val="00770281"/>
    <w:rsid w:val="00776D4A"/>
    <w:rsid w:val="00783419"/>
    <w:rsid w:val="00784D0C"/>
    <w:rsid w:val="007967F1"/>
    <w:rsid w:val="007B38B8"/>
    <w:rsid w:val="007C103C"/>
    <w:rsid w:val="007D53F1"/>
    <w:rsid w:val="007D6347"/>
    <w:rsid w:val="007D6B20"/>
    <w:rsid w:val="007E43D1"/>
    <w:rsid w:val="007F0293"/>
    <w:rsid w:val="007F1269"/>
    <w:rsid w:val="00801F7A"/>
    <w:rsid w:val="00807B77"/>
    <w:rsid w:val="008105FC"/>
    <w:rsid w:val="0081162D"/>
    <w:rsid w:val="00812F37"/>
    <w:rsid w:val="00814961"/>
    <w:rsid w:val="00821073"/>
    <w:rsid w:val="00821108"/>
    <w:rsid w:val="00821C50"/>
    <w:rsid w:val="0083098F"/>
    <w:rsid w:val="00840BB7"/>
    <w:rsid w:val="00841599"/>
    <w:rsid w:val="0085209C"/>
    <w:rsid w:val="00852EB3"/>
    <w:rsid w:val="00857DD2"/>
    <w:rsid w:val="00864C57"/>
    <w:rsid w:val="00865903"/>
    <w:rsid w:val="00865B3B"/>
    <w:rsid w:val="00867924"/>
    <w:rsid w:val="00867DA1"/>
    <w:rsid w:val="0088496F"/>
    <w:rsid w:val="008854E9"/>
    <w:rsid w:val="008922F0"/>
    <w:rsid w:val="008937D1"/>
    <w:rsid w:val="008B0AE8"/>
    <w:rsid w:val="008B2C07"/>
    <w:rsid w:val="008D1A20"/>
    <w:rsid w:val="008D6802"/>
    <w:rsid w:val="008D6EAF"/>
    <w:rsid w:val="008E28FD"/>
    <w:rsid w:val="008E518D"/>
    <w:rsid w:val="00926150"/>
    <w:rsid w:val="009370A2"/>
    <w:rsid w:val="00940487"/>
    <w:rsid w:val="00952D43"/>
    <w:rsid w:val="009661E8"/>
    <w:rsid w:val="00966ADC"/>
    <w:rsid w:val="00974425"/>
    <w:rsid w:val="009763B8"/>
    <w:rsid w:val="00984A98"/>
    <w:rsid w:val="009852A8"/>
    <w:rsid w:val="00993F1A"/>
    <w:rsid w:val="00994979"/>
    <w:rsid w:val="009A03FB"/>
    <w:rsid w:val="009A50C8"/>
    <w:rsid w:val="009A7F61"/>
    <w:rsid w:val="009B0A12"/>
    <w:rsid w:val="009B3EFB"/>
    <w:rsid w:val="009B6643"/>
    <w:rsid w:val="009B7F8A"/>
    <w:rsid w:val="009D4792"/>
    <w:rsid w:val="009D4924"/>
    <w:rsid w:val="009E1FA6"/>
    <w:rsid w:val="009F39D8"/>
    <w:rsid w:val="009F5707"/>
    <w:rsid w:val="00A0254A"/>
    <w:rsid w:val="00A10F7F"/>
    <w:rsid w:val="00A13295"/>
    <w:rsid w:val="00A269AD"/>
    <w:rsid w:val="00A33EDE"/>
    <w:rsid w:val="00A3582A"/>
    <w:rsid w:val="00A35ED6"/>
    <w:rsid w:val="00A37940"/>
    <w:rsid w:val="00A47F7C"/>
    <w:rsid w:val="00A53BFB"/>
    <w:rsid w:val="00A6262D"/>
    <w:rsid w:val="00A72326"/>
    <w:rsid w:val="00A72AA9"/>
    <w:rsid w:val="00A72B5E"/>
    <w:rsid w:val="00A731B4"/>
    <w:rsid w:val="00A80653"/>
    <w:rsid w:val="00A82272"/>
    <w:rsid w:val="00A82638"/>
    <w:rsid w:val="00AB691D"/>
    <w:rsid w:val="00AC1C62"/>
    <w:rsid w:val="00AD1A85"/>
    <w:rsid w:val="00AD7350"/>
    <w:rsid w:val="00AE19C4"/>
    <w:rsid w:val="00AE568B"/>
    <w:rsid w:val="00AE759F"/>
    <w:rsid w:val="00AE7F17"/>
    <w:rsid w:val="00AF1039"/>
    <w:rsid w:val="00AF55AE"/>
    <w:rsid w:val="00AF58C0"/>
    <w:rsid w:val="00B10F49"/>
    <w:rsid w:val="00B1237E"/>
    <w:rsid w:val="00B143CA"/>
    <w:rsid w:val="00B31882"/>
    <w:rsid w:val="00B36B00"/>
    <w:rsid w:val="00B376D1"/>
    <w:rsid w:val="00B513AA"/>
    <w:rsid w:val="00B544EF"/>
    <w:rsid w:val="00B672CE"/>
    <w:rsid w:val="00B7158D"/>
    <w:rsid w:val="00B75536"/>
    <w:rsid w:val="00B8266B"/>
    <w:rsid w:val="00B86AB9"/>
    <w:rsid w:val="00B96445"/>
    <w:rsid w:val="00BB1299"/>
    <w:rsid w:val="00BB571E"/>
    <w:rsid w:val="00BC75B9"/>
    <w:rsid w:val="00BD1833"/>
    <w:rsid w:val="00BD6999"/>
    <w:rsid w:val="00BE6D40"/>
    <w:rsid w:val="00C015FD"/>
    <w:rsid w:val="00C04BD7"/>
    <w:rsid w:val="00C21C2F"/>
    <w:rsid w:val="00C23CE5"/>
    <w:rsid w:val="00C25C56"/>
    <w:rsid w:val="00C267A7"/>
    <w:rsid w:val="00C26A6D"/>
    <w:rsid w:val="00C27959"/>
    <w:rsid w:val="00C358F8"/>
    <w:rsid w:val="00C367BE"/>
    <w:rsid w:val="00C41573"/>
    <w:rsid w:val="00C44A1E"/>
    <w:rsid w:val="00C47B67"/>
    <w:rsid w:val="00C51701"/>
    <w:rsid w:val="00C67AAD"/>
    <w:rsid w:val="00C71D57"/>
    <w:rsid w:val="00C7525B"/>
    <w:rsid w:val="00C758CC"/>
    <w:rsid w:val="00C87356"/>
    <w:rsid w:val="00C900B8"/>
    <w:rsid w:val="00CA15C8"/>
    <w:rsid w:val="00CA2755"/>
    <w:rsid w:val="00CB2110"/>
    <w:rsid w:val="00CB21EA"/>
    <w:rsid w:val="00CC32E6"/>
    <w:rsid w:val="00CD16FC"/>
    <w:rsid w:val="00CE1C6E"/>
    <w:rsid w:val="00CF3122"/>
    <w:rsid w:val="00CF5B8C"/>
    <w:rsid w:val="00CF725D"/>
    <w:rsid w:val="00D146A5"/>
    <w:rsid w:val="00D1478C"/>
    <w:rsid w:val="00D14E75"/>
    <w:rsid w:val="00D22A27"/>
    <w:rsid w:val="00D23F41"/>
    <w:rsid w:val="00D3078D"/>
    <w:rsid w:val="00D33931"/>
    <w:rsid w:val="00D364A9"/>
    <w:rsid w:val="00D3706F"/>
    <w:rsid w:val="00D524F9"/>
    <w:rsid w:val="00D527CE"/>
    <w:rsid w:val="00D620A6"/>
    <w:rsid w:val="00D65CBE"/>
    <w:rsid w:val="00D70C7A"/>
    <w:rsid w:val="00D714DF"/>
    <w:rsid w:val="00D8313E"/>
    <w:rsid w:val="00D83E38"/>
    <w:rsid w:val="00D913E6"/>
    <w:rsid w:val="00DA2B25"/>
    <w:rsid w:val="00DA3788"/>
    <w:rsid w:val="00DB37F1"/>
    <w:rsid w:val="00DB3BAC"/>
    <w:rsid w:val="00DB3BC5"/>
    <w:rsid w:val="00DB592F"/>
    <w:rsid w:val="00DC03A7"/>
    <w:rsid w:val="00DD00B6"/>
    <w:rsid w:val="00DD3B20"/>
    <w:rsid w:val="00DE1D40"/>
    <w:rsid w:val="00DE5933"/>
    <w:rsid w:val="00DE699C"/>
    <w:rsid w:val="00DF04FB"/>
    <w:rsid w:val="00DF71C4"/>
    <w:rsid w:val="00DF7F6A"/>
    <w:rsid w:val="00E10FF8"/>
    <w:rsid w:val="00E11FB0"/>
    <w:rsid w:val="00E2735F"/>
    <w:rsid w:val="00E34FAC"/>
    <w:rsid w:val="00E352D1"/>
    <w:rsid w:val="00E40541"/>
    <w:rsid w:val="00E40CE1"/>
    <w:rsid w:val="00E471E6"/>
    <w:rsid w:val="00E639DA"/>
    <w:rsid w:val="00E71898"/>
    <w:rsid w:val="00E72037"/>
    <w:rsid w:val="00E72CC0"/>
    <w:rsid w:val="00E741C0"/>
    <w:rsid w:val="00E77B84"/>
    <w:rsid w:val="00E95C22"/>
    <w:rsid w:val="00EA0D57"/>
    <w:rsid w:val="00EA3452"/>
    <w:rsid w:val="00EA5933"/>
    <w:rsid w:val="00EC26C2"/>
    <w:rsid w:val="00EC6E77"/>
    <w:rsid w:val="00EC712D"/>
    <w:rsid w:val="00ED264A"/>
    <w:rsid w:val="00ED4F1A"/>
    <w:rsid w:val="00ED7371"/>
    <w:rsid w:val="00EE11A4"/>
    <w:rsid w:val="00EE6750"/>
    <w:rsid w:val="00EE7F49"/>
    <w:rsid w:val="00EF12DC"/>
    <w:rsid w:val="00F008B3"/>
    <w:rsid w:val="00F00AA8"/>
    <w:rsid w:val="00F04758"/>
    <w:rsid w:val="00F07944"/>
    <w:rsid w:val="00F11B88"/>
    <w:rsid w:val="00F21D63"/>
    <w:rsid w:val="00F22CD0"/>
    <w:rsid w:val="00F23B4A"/>
    <w:rsid w:val="00F30971"/>
    <w:rsid w:val="00F30D4D"/>
    <w:rsid w:val="00F31CBF"/>
    <w:rsid w:val="00F37A26"/>
    <w:rsid w:val="00F61046"/>
    <w:rsid w:val="00F62987"/>
    <w:rsid w:val="00F6406F"/>
    <w:rsid w:val="00F72D97"/>
    <w:rsid w:val="00F800A8"/>
    <w:rsid w:val="00F87568"/>
    <w:rsid w:val="00F90A3B"/>
    <w:rsid w:val="00FA0772"/>
    <w:rsid w:val="00FB085A"/>
    <w:rsid w:val="00FB4B96"/>
    <w:rsid w:val="00FB5848"/>
    <w:rsid w:val="00FC133D"/>
    <w:rsid w:val="00FC17D5"/>
    <w:rsid w:val="00FC3881"/>
    <w:rsid w:val="00FC38AA"/>
    <w:rsid w:val="00FC5663"/>
    <w:rsid w:val="00FC749E"/>
    <w:rsid w:val="00FE45BF"/>
    <w:rsid w:val="00FE793F"/>
    <w:rsid w:val="00FF3820"/>
    <w:rsid w:val="00FF3B6D"/>
    <w:rsid w:val="00FF3DE3"/>
    <w:rsid w:val="00FF42A9"/>
    <w:rsid w:val="00FF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ascii="Tahoma" w:hAnsi="Tahoma" w:cs="Tahoma"/>
      <w:sz w:val="22"/>
      <w:u w:val="single"/>
    </w:rPr>
  </w:style>
  <w:style w:type="paragraph" w:styleId="Heading2">
    <w:name w:val="heading 2"/>
    <w:basedOn w:val="Normal"/>
    <w:next w:val="Normal"/>
    <w:qFormat/>
    <w:pPr>
      <w:keepNext/>
      <w:ind w:firstLine="720"/>
      <w:jc w:val="both"/>
      <w:outlineLvl w:val="1"/>
    </w:pPr>
    <w:rPr>
      <w:rFonts w:ascii="Tahoma" w:hAnsi="Tahoma" w:cs="Tahoma"/>
      <w:sz w:val="22"/>
      <w:u w:val="single"/>
    </w:rPr>
  </w:style>
  <w:style w:type="paragraph" w:styleId="Heading3">
    <w:name w:val="heading 3"/>
    <w:basedOn w:val="Normal"/>
    <w:next w:val="Normal"/>
    <w:qFormat/>
    <w:pPr>
      <w:keepNext/>
      <w:ind w:left="720"/>
      <w:jc w:val="both"/>
      <w:outlineLvl w:val="2"/>
    </w:pPr>
    <w:rPr>
      <w:rFonts w:ascii="Tahoma" w:hAnsi="Tahoma" w:cs="Tahoma"/>
      <w:b/>
      <w:bCs/>
      <w:sz w:val="22"/>
    </w:rPr>
  </w:style>
  <w:style w:type="paragraph" w:styleId="Heading4">
    <w:name w:val="heading 4"/>
    <w:basedOn w:val="Normal"/>
    <w:next w:val="Normal"/>
    <w:qFormat/>
    <w:pPr>
      <w:keepNext/>
      <w:ind w:firstLine="720"/>
      <w:jc w:val="both"/>
      <w:outlineLvl w:val="3"/>
    </w:pPr>
    <w:rPr>
      <w:rFonts w:ascii="Tahoma" w:hAnsi="Tahoma" w:cs="Tahoma"/>
      <w:b/>
      <w:bCs/>
      <w:sz w:val="22"/>
    </w:rPr>
  </w:style>
  <w:style w:type="paragraph" w:styleId="Heading5">
    <w:name w:val="heading 5"/>
    <w:basedOn w:val="Normal"/>
    <w:next w:val="Normal"/>
    <w:qFormat/>
    <w:pPr>
      <w:keepNext/>
      <w:ind w:left="720"/>
      <w:jc w:val="center"/>
      <w:outlineLvl w:val="4"/>
    </w:pPr>
    <w:rPr>
      <w:rFonts w:ascii="Tahoma" w:hAnsi="Tahoma" w:cs="Tahoma"/>
      <w:b/>
      <w:bCs/>
      <w:sz w:val="22"/>
    </w:rPr>
  </w:style>
  <w:style w:type="paragraph" w:styleId="Heading6">
    <w:name w:val="heading 6"/>
    <w:basedOn w:val="Normal"/>
    <w:next w:val="Normal"/>
    <w:qFormat/>
    <w:pPr>
      <w:keepNext/>
      <w:ind w:left="720"/>
      <w:jc w:val="center"/>
      <w:outlineLvl w:val="5"/>
    </w:pPr>
    <w:rPr>
      <w:rFonts w:ascii="Tahoma" w:hAnsi="Tahoma" w:cs="Tahoma"/>
      <w:sz w:val="96"/>
    </w:rPr>
  </w:style>
  <w:style w:type="paragraph" w:styleId="Heading7">
    <w:name w:val="heading 7"/>
    <w:basedOn w:val="Normal"/>
    <w:next w:val="Normal"/>
    <w:qFormat/>
    <w:pPr>
      <w:keepNext/>
      <w:jc w:val="both"/>
      <w:outlineLvl w:val="6"/>
    </w:pPr>
    <w:rPr>
      <w:rFonts w:ascii="Tahoma" w:hAnsi="Tahoma" w:cs="Tahoma"/>
      <w:b/>
      <w:bCs/>
      <w:sz w:val="22"/>
    </w:rPr>
  </w:style>
  <w:style w:type="paragraph" w:styleId="Heading8">
    <w:name w:val="heading 8"/>
    <w:basedOn w:val="Normal"/>
    <w:next w:val="Normal"/>
    <w:qFormat/>
    <w:pPr>
      <w:keepNext/>
      <w:jc w:val="center"/>
      <w:outlineLvl w:val="7"/>
    </w:pPr>
    <w:rPr>
      <w:rFonts w:ascii="Tahoma" w:hAnsi="Tahoma" w:cs="Tahoma"/>
      <w:sz w:val="96"/>
    </w:rPr>
  </w:style>
  <w:style w:type="paragraph" w:styleId="Heading9">
    <w:name w:val="heading 9"/>
    <w:basedOn w:val="Normal"/>
    <w:next w:val="Normal"/>
    <w:qFormat/>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140"/>
      </w:tabs>
    </w:pPr>
    <w:rPr>
      <w:rFonts w:ascii="Tahoma" w:hAnsi="Tahoma" w:cs="Tahoma"/>
      <w:b/>
      <w:bCs/>
    </w:rPr>
  </w:style>
  <w:style w:type="paragraph" w:styleId="BodyText2">
    <w:name w:val="Body Text 2"/>
    <w:basedOn w:val="Normal"/>
    <w:pPr>
      <w:jc w:val="both"/>
    </w:pPr>
    <w:rPr>
      <w:rFonts w:ascii="Tahoma" w:hAnsi="Tahoma" w:cs="Tahoma"/>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jc w:val="both"/>
    </w:pPr>
    <w:rPr>
      <w:rFonts w:ascii="Tahoma" w:hAnsi="Tahoma" w:cs="Tahoma"/>
      <w:sz w:val="22"/>
    </w:rPr>
  </w:style>
  <w:style w:type="paragraph" w:styleId="BodyTextIndent2">
    <w:name w:val="Body Text Indent 2"/>
    <w:basedOn w:val="Normal"/>
    <w:pPr>
      <w:ind w:left="720" w:hanging="720"/>
      <w:jc w:val="both"/>
    </w:pPr>
  </w:style>
  <w:style w:type="paragraph" w:styleId="BodyTextIndent3">
    <w:name w:val="Body Text Indent 3"/>
    <w:basedOn w:val="Normal"/>
    <w:pPr>
      <w:ind w:left="720"/>
      <w:jc w:val="both"/>
    </w:pPr>
    <w:rPr>
      <w:rFonts w:ascii="Tahoma" w:hAnsi="Tahoma" w:cs="Tahoma"/>
      <w:sz w:val="22"/>
    </w:rPr>
  </w:style>
  <w:style w:type="paragraph" w:styleId="BodyText3">
    <w:name w:val="Body Text 3"/>
    <w:basedOn w:val="Normal"/>
    <w:pPr>
      <w:widowControl w:val="0"/>
      <w:autoSpaceDE w:val="0"/>
      <w:autoSpaceDN w:val="0"/>
      <w:ind w:right="397"/>
      <w:jc w:val="both"/>
    </w:pPr>
    <w:rPr>
      <w:rFonts w:cs="Arial"/>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153"/>
        <w:tab w:val="right" w:pos="8306"/>
      </w:tabs>
    </w:pPr>
    <w:rPr>
      <w:color w:val="000000"/>
      <w:sz w:val="28"/>
    </w:rPr>
  </w:style>
  <w:style w:type="paragraph" w:customStyle="1" w:styleId="CAPS">
    <w:name w:val="CAPS"/>
    <w:rPr>
      <w:rFonts w:eastAsia="MS Mincho"/>
      <w:lang w:eastAsia="en-US"/>
    </w:rPr>
  </w:style>
  <w:style w:type="paragraph" w:styleId="BalloonText">
    <w:name w:val="Balloon Text"/>
    <w:basedOn w:val="Normal"/>
    <w:semiHidden/>
    <w:rsid w:val="00F30D4D"/>
    <w:rPr>
      <w:rFonts w:ascii="Tahoma" w:hAnsi="Tahoma" w:cs="Tahoma"/>
      <w:sz w:val="16"/>
      <w:szCs w:val="16"/>
    </w:rPr>
  </w:style>
  <w:style w:type="table" w:styleId="TableGrid">
    <w:name w:val="Table Grid"/>
    <w:basedOn w:val="TableNormal"/>
    <w:rsid w:val="00DB592F"/>
    <w:pPr>
      <w:widowControl w:val="0"/>
      <w:autoSpaceDE w:val="0"/>
      <w:autoSpaceDN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rsid w:val="00A82272"/>
    <w:pPr>
      <w:spacing w:after="160" w:line="240" w:lineRule="exact"/>
    </w:pPr>
    <w:rPr>
      <w:rFonts w:ascii="Verdana" w:hAnsi="Verdana"/>
      <w:sz w:val="20"/>
      <w:szCs w:val="20"/>
      <w:lang w:val="en-US"/>
    </w:rPr>
  </w:style>
  <w:style w:type="paragraph" w:customStyle="1" w:styleId="Default">
    <w:name w:val="Default"/>
    <w:rsid w:val="0022088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ascii="Tahoma" w:hAnsi="Tahoma" w:cs="Tahoma"/>
      <w:sz w:val="22"/>
      <w:u w:val="single"/>
    </w:rPr>
  </w:style>
  <w:style w:type="paragraph" w:styleId="Heading2">
    <w:name w:val="heading 2"/>
    <w:basedOn w:val="Normal"/>
    <w:next w:val="Normal"/>
    <w:qFormat/>
    <w:pPr>
      <w:keepNext/>
      <w:ind w:firstLine="720"/>
      <w:jc w:val="both"/>
      <w:outlineLvl w:val="1"/>
    </w:pPr>
    <w:rPr>
      <w:rFonts w:ascii="Tahoma" w:hAnsi="Tahoma" w:cs="Tahoma"/>
      <w:sz w:val="22"/>
      <w:u w:val="single"/>
    </w:rPr>
  </w:style>
  <w:style w:type="paragraph" w:styleId="Heading3">
    <w:name w:val="heading 3"/>
    <w:basedOn w:val="Normal"/>
    <w:next w:val="Normal"/>
    <w:qFormat/>
    <w:pPr>
      <w:keepNext/>
      <w:ind w:left="720"/>
      <w:jc w:val="both"/>
      <w:outlineLvl w:val="2"/>
    </w:pPr>
    <w:rPr>
      <w:rFonts w:ascii="Tahoma" w:hAnsi="Tahoma" w:cs="Tahoma"/>
      <w:b/>
      <w:bCs/>
      <w:sz w:val="22"/>
    </w:rPr>
  </w:style>
  <w:style w:type="paragraph" w:styleId="Heading4">
    <w:name w:val="heading 4"/>
    <w:basedOn w:val="Normal"/>
    <w:next w:val="Normal"/>
    <w:qFormat/>
    <w:pPr>
      <w:keepNext/>
      <w:ind w:firstLine="720"/>
      <w:jc w:val="both"/>
      <w:outlineLvl w:val="3"/>
    </w:pPr>
    <w:rPr>
      <w:rFonts w:ascii="Tahoma" w:hAnsi="Tahoma" w:cs="Tahoma"/>
      <w:b/>
      <w:bCs/>
      <w:sz w:val="22"/>
    </w:rPr>
  </w:style>
  <w:style w:type="paragraph" w:styleId="Heading5">
    <w:name w:val="heading 5"/>
    <w:basedOn w:val="Normal"/>
    <w:next w:val="Normal"/>
    <w:qFormat/>
    <w:pPr>
      <w:keepNext/>
      <w:ind w:left="720"/>
      <w:jc w:val="center"/>
      <w:outlineLvl w:val="4"/>
    </w:pPr>
    <w:rPr>
      <w:rFonts w:ascii="Tahoma" w:hAnsi="Tahoma" w:cs="Tahoma"/>
      <w:b/>
      <w:bCs/>
      <w:sz w:val="22"/>
    </w:rPr>
  </w:style>
  <w:style w:type="paragraph" w:styleId="Heading6">
    <w:name w:val="heading 6"/>
    <w:basedOn w:val="Normal"/>
    <w:next w:val="Normal"/>
    <w:qFormat/>
    <w:pPr>
      <w:keepNext/>
      <w:ind w:left="720"/>
      <w:jc w:val="center"/>
      <w:outlineLvl w:val="5"/>
    </w:pPr>
    <w:rPr>
      <w:rFonts w:ascii="Tahoma" w:hAnsi="Tahoma" w:cs="Tahoma"/>
      <w:sz w:val="96"/>
    </w:rPr>
  </w:style>
  <w:style w:type="paragraph" w:styleId="Heading7">
    <w:name w:val="heading 7"/>
    <w:basedOn w:val="Normal"/>
    <w:next w:val="Normal"/>
    <w:qFormat/>
    <w:pPr>
      <w:keepNext/>
      <w:jc w:val="both"/>
      <w:outlineLvl w:val="6"/>
    </w:pPr>
    <w:rPr>
      <w:rFonts w:ascii="Tahoma" w:hAnsi="Tahoma" w:cs="Tahoma"/>
      <w:b/>
      <w:bCs/>
      <w:sz w:val="22"/>
    </w:rPr>
  </w:style>
  <w:style w:type="paragraph" w:styleId="Heading8">
    <w:name w:val="heading 8"/>
    <w:basedOn w:val="Normal"/>
    <w:next w:val="Normal"/>
    <w:qFormat/>
    <w:pPr>
      <w:keepNext/>
      <w:jc w:val="center"/>
      <w:outlineLvl w:val="7"/>
    </w:pPr>
    <w:rPr>
      <w:rFonts w:ascii="Tahoma" w:hAnsi="Tahoma" w:cs="Tahoma"/>
      <w:sz w:val="96"/>
    </w:rPr>
  </w:style>
  <w:style w:type="paragraph" w:styleId="Heading9">
    <w:name w:val="heading 9"/>
    <w:basedOn w:val="Normal"/>
    <w:next w:val="Normal"/>
    <w:qFormat/>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140"/>
      </w:tabs>
    </w:pPr>
    <w:rPr>
      <w:rFonts w:ascii="Tahoma" w:hAnsi="Tahoma" w:cs="Tahoma"/>
      <w:b/>
      <w:bCs/>
    </w:rPr>
  </w:style>
  <w:style w:type="paragraph" w:styleId="BodyText2">
    <w:name w:val="Body Text 2"/>
    <w:basedOn w:val="Normal"/>
    <w:pPr>
      <w:jc w:val="both"/>
    </w:pPr>
    <w:rPr>
      <w:rFonts w:ascii="Tahoma" w:hAnsi="Tahoma" w:cs="Tahoma"/>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jc w:val="both"/>
    </w:pPr>
    <w:rPr>
      <w:rFonts w:ascii="Tahoma" w:hAnsi="Tahoma" w:cs="Tahoma"/>
      <w:sz w:val="22"/>
    </w:rPr>
  </w:style>
  <w:style w:type="paragraph" w:styleId="BodyTextIndent2">
    <w:name w:val="Body Text Indent 2"/>
    <w:basedOn w:val="Normal"/>
    <w:pPr>
      <w:ind w:left="720" w:hanging="720"/>
      <w:jc w:val="both"/>
    </w:pPr>
  </w:style>
  <w:style w:type="paragraph" w:styleId="BodyTextIndent3">
    <w:name w:val="Body Text Indent 3"/>
    <w:basedOn w:val="Normal"/>
    <w:pPr>
      <w:ind w:left="720"/>
      <w:jc w:val="both"/>
    </w:pPr>
    <w:rPr>
      <w:rFonts w:ascii="Tahoma" w:hAnsi="Tahoma" w:cs="Tahoma"/>
      <w:sz w:val="22"/>
    </w:rPr>
  </w:style>
  <w:style w:type="paragraph" w:styleId="BodyText3">
    <w:name w:val="Body Text 3"/>
    <w:basedOn w:val="Normal"/>
    <w:pPr>
      <w:widowControl w:val="0"/>
      <w:autoSpaceDE w:val="0"/>
      <w:autoSpaceDN w:val="0"/>
      <w:ind w:right="397"/>
      <w:jc w:val="both"/>
    </w:pPr>
    <w:rPr>
      <w:rFonts w:cs="Arial"/>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153"/>
        <w:tab w:val="right" w:pos="8306"/>
      </w:tabs>
    </w:pPr>
    <w:rPr>
      <w:color w:val="000000"/>
      <w:sz w:val="28"/>
    </w:rPr>
  </w:style>
  <w:style w:type="paragraph" w:customStyle="1" w:styleId="CAPS">
    <w:name w:val="CAPS"/>
    <w:rPr>
      <w:rFonts w:eastAsia="MS Mincho"/>
      <w:lang w:eastAsia="en-US"/>
    </w:rPr>
  </w:style>
  <w:style w:type="paragraph" w:styleId="BalloonText">
    <w:name w:val="Balloon Text"/>
    <w:basedOn w:val="Normal"/>
    <w:semiHidden/>
    <w:rsid w:val="00F30D4D"/>
    <w:rPr>
      <w:rFonts w:ascii="Tahoma" w:hAnsi="Tahoma" w:cs="Tahoma"/>
      <w:sz w:val="16"/>
      <w:szCs w:val="16"/>
    </w:rPr>
  </w:style>
  <w:style w:type="table" w:styleId="TableGrid">
    <w:name w:val="Table Grid"/>
    <w:basedOn w:val="TableNormal"/>
    <w:rsid w:val="00DB592F"/>
    <w:pPr>
      <w:widowControl w:val="0"/>
      <w:autoSpaceDE w:val="0"/>
      <w:autoSpaceDN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rsid w:val="00A82272"/>
    <w:pPr>
      <w:spacing w:after="160" w:line="240" w:lineRule="exact"/>
    </w:pPr>
    <w:rPr>
      <w:rFonts w:ascii="Verdana" w:hAnsi="Verdana"/>
      <w:sz w:val="20"/>
      <w:szCs w:val="20"/>
      <w:lang w:val="en-US"/>
    </w:rPr>
  </w:style>
  <w:style w:type="paragraph" w:customStyle="1" w:styleId="Default">
    <w:name w:val="Default"/>
    <w:rsid w:val="002208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0263">
      <w:bodyDiv w:val="1"/>
      <w:marLeft w:val="0"/>
      <w:marRight w:val="0"/>
      <w:marTop w:val="0"/>
      <w:marBottom w:val="0"/>
      <w:divBdr>
        <w:top w:val="none" w:sz="0" w:space="0" w:color="auto"/>
        <w:left w:val="none" w:sz="0" w:space="0" w:color="auto"/>
        <w:bottom w:val="none" w:sz="0" w:space="0" w:color="auto"/>
        <w:right w:val="none" w:sz="0" w:space="0" w:color="auto"/>
      </w:divBdr>
    </w:div>
    <w:div w:id="799302736">
      <w:bodyDiv w:val="1"/>
      <w:marLeft w:val="0"/>
      <w:marRight w:val="0"/>
      <w:marTop w:val="0"/>
      <w:marBottom w:val="0"/>
      <w:divBdr>
        <w:top w:val="none" w:sz="0" w:space="0" w:color="auto"/>
        <w:left w:val="none" w:sz="0" w:space="0" w:color="auto"/>
        <w:bottom w:val="none" w:sz="0" w:space="0" w:color="auto"/>
        <w:right w:val="none" w:sz="0" w:space="0" w:color="auto"/>
      </w:divBdr>
      <w:divsChild>
        <w:div w:id="70781034">
          <w:marLeft w:val="0"/>
          <w:marRight w:val="0"/>
          <w:marTop w:val="0"/>
          <w:marBottom w:val="0"/>
          <w:divBdr>
            <w:top w:val="none" w:sz="0" w:space="0" w:color="auto"/>
            <w:left w:val="none" w:sz="0" w:space="0" w:color="auto"/>
            <w:bottom w:val="none" w:sz="0" w:space="0" w:color="auto"/>
            <w:right w:val="none" w:sz="0" w:space="0" w:color="auto"/>
          </w:divBdr>
        </w:div>
        <w:div w:id="1193492754">
          <w:marLeft w:val="0"/>
          <w:marRight w:val="0"/>
          <w:marTop w:val="0"/>
          <w:marBottom w:val="0"/>
          <w:divBdr>
            <w:top w:val="none" w:sz="0" w:space="0" w:color="auto"/>
            <w:left w:val="none" w:sz="0" w:space="0" w:color="auto"/>
            <w:bottom w:val="none" w:sz="0" w:space="0" w:color="auto"/>
            <w:right w:val="none" w:sz="0" w:space="0" w:color="auto"/>
          </w:divBdr>
        </w:div>
        <w:div w:id="1389963308">
          <w:marLeft w:val="0"/>
          <w:marRight w:val="0"/>
          <w:marTop w:val="0"/>
          <w:marBottom w:val="0"/>
          <w:divBdr>
            <w:top w:val="none" w:sz="0" w:space="0" w:color="auto"/>
            <w:left w:val="none" w:sz="0" w:space="0" w:color="auto"/>
            <w:bottom w:val="none" w:sz="0" w:space="0" w:color="auto"/>
            <w:right w:val="none" w:sz="0" w:space="0" w:color="auto"/>
          </w:divBdr>
        </w:div>
        <w:div w:id="1820725428">
          <w:marLeft w:val="0"/>
          <w:marRight w:val="0"/>
          <w:marTop w:val="0"/>
          <w:marBottom w:val="0"/>
          <w:divBdr>
            <w:top w:val="none" w:sz="0" w:space="0" w:color="auto"/>
            <w:left w:val="none" w:sz="0" w:space="0" w:color="auto"/>
            <w:bottom w:val="none" w:sz="0" w:space="0" w:color="auto"/>
            <w:right w:val="none" w:sz="0" w:space="0" w:color="auto"/>
          </w:divBdr>
        </w:div>
      </w:divsChild>
    </w:div>
    <w:div w:id="876772154">
      <w:bodyDiv w:val="1"/>
      <w:marLeft w:val="0"/>
      <w:marRight w:val="0"/>
      <w:marTop w:val="0"/>
      <w:marBottom w:val="0"/>
      <w:divBdr>
        <w:top w:val="none" w:sz="0" w:space="0" w:color="auto"/>
        <w:left w:val="none" w:sz="0" w:space="0" w:color="auto"/>
        <w:bottom w:val="none" w:sz="0" w:space="0" w:color="auto"/>
        <w:right w:val="none" w:sz="0" w:space="0" w:color="auto"/>
      </w:divBdr>
    </w:div>
    <w:div w:id="1146356433">
      <w:bodyDiv w:val="1"/>
      <w:marLeft w:val="0"/>
      <w:marRight w:val="0"/>
      <w:marTop w:val="0"/>
      <w:marBottom w:val="0"/>
      <w:divBdr>
        <w:top w:val="none" w:sz="0" w:space="0" w:color="auto"/>
        <w:left w:val="none" w:sz="0" w:space="0" w:color="auto"/>
        <w:bottom w:val="none" w:sz="0" w:space="0" w:color="auto"/>
        <w:right w:val="none" w:sz="0" w:space="0" w:color="auto"/>
      </w:divBdr>
    </w:div>
    <w:div w:id="15124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legislation.gov.uk/uksi/1995/418/schedule/2/made" TargetMode="External"/><Relationship Id="rId2" Type="http://schemas.openxmlformats.org/officeDocument/2006/relationships/numbering" Target="numbering.xml"/><Relationship Id="rId16" Type="http://schemas.openxmlformats.org/officeDocument/2006/relationships/hyperlink" Target="http://www.legislation.gov.uk/uksi/1995/418/schedule/2/m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reen\Application%20Data\Microsoft\Templates\Appe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9D07-4FC1-4F4B-B6BB-A2B027F0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Appeals.dot</Template>
  <TotalTime>13</TotalTime>
  <Pages>15</Pages>
  <Words>2215</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PLANNING POLICIES</vt:lpstr>
    </vt:vector>
  </TitlesOfParts>
  <Company>Oxford City Council</Company>
  <LinksUpToDate>false</LinksUpToDate>
  <CharactersWithSpaces>14282</CharactersWithSpaces>
  <SharedDoc>false</SharedDoc>
  <HLinks>
    <vt:vector size="12" baseType="variant">
      <vt:variant>
        <vt:i4>3932210</vt:i4>
      </vt:variant>
      <vt:variant>
        <vt:i4>3</vt:i4>
      </vt:variant>
      <vt:variant>
        <vt:i4>0</vt:i4>
      </vt:variant>
      <vt:variant>
        <vt:i4>5</vt:i4>
      </vt:variant>
      <vt:variant>
        <vt:lpwstr>http://www.legislation.gov.uk/uksi/1995/418/schedule/2/made</vt:lpwstr>
      </vt:variant>
      <vt:variant>
        <vt:lpwstr>f00031#f00031</vt:lpwstr>
      </vt:variant>
      <vt:variant>
        <vt:i4>3997746</vt:i4>
      </vt:variant>
      <vt:variant>
        <vt:i4>0</vt:i4>
      </vt:variant>
      <vt:variant>
        <vt:i4>0</vt:i4>
      </vt:variant>
      <vt:variant>
        <vt:i4>5</vt:i4>
      </vt:variant>
      <vt:variant>
        <vt:lpwstr>http://www.legislation.gov.uk/uksi/1995/418/schedule/2/made</vt:lpwstr>
      </vt:variant>
      <vt:variant>
        <vt:lpwstr>f00030#f00030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POLICIES</dc:title>
  <dc:creator>LGreen</dc:creator>
  <cp:lastModifiedBy>Sarah.Claridge</cp:lastModifiedBy>
  <cp:revision>6</cp:revision>
  <cp:lastPrinted>2013-05-24T10:07:00Z</cp:lastPrinted>
  <dcterms:created xsi:type="dcterms:W3CDTF">2014-01-23T16:34:00Z</dcterms:created>
  <dcterms:modified xsi:type="dcterms:W3CDTF">2014-01-30T11:57:00Z</dcterms:modified>
</cp:coreProperties>
</file>

<file path=docProps/custom.xml><?xml version="1.0" encoding="utf-8"?>
<op:Properties xmlns:op="http://schemas.openxmlformats.org/officeDocument/2006/custom-properties"/>
</file>